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KFürsV — Unterhaltsbeihilfe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Der Höchstbetrag der Unterhaltsbeihilfe nach § 26a Abs. 3 des Bundesversorgungsgesetzes bemisst sich entsprechend dem Unterhaltsbedarf nach § 21 Abs. 1 Satz 1 Nr. 1 oder Nr. 3.</w:t>
      </w:r>
    </w:p>
    <w:p>
      <w:r>
        <w:t xml:space="preserve">(2) Der Betrag zur Abgeltung zusätzlicher weiterer Bedürfnisse (§ 26a Abs. 3 Satz 3 des Bundesversorgungsgesetzes) soll den nach § 27b Absatz 2 des Zwölften Buches Sozialgesetzbuch von den zuständigen Landesbehörden festgesetzten Barbetrag nicht übersteigen.</w:t>
      </w:r>
    </w:p>
    <w:p>
      <w:r>
        <w:rPr>
          <w:color w:val="555555"/>
          <w:sz w:val="17"/>
        </w:rPr>
        <w:t xml:space="preserve">Zitiervorschlag: § 16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