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KFürsV — Gegenstand der Förderung</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Als Leistungen zur Teilhabe am Arbeitsleben kommen in Betracht</w:t>
      </w:r>
    </w:p>
    <w:p>
      <w:pPr>
        <w:ind w:left="420"/>
      </w:pPr>
      <w:r>
        <w:t xml:space="preserve">1. Ausbildung für Berufe, die einen bestimmten Ausbildungsgang voraussetzen,</w:t>
      </w:r>
    </w:p>
    <w:p>
      <w:pPr>
        <w:ind w:left="420"/>
      </w:pPr>
      <w:r>
        <w:t xml:space="preserve">2. Besuch öffentlicher, staatlich anerkannter oder genehmigter Ausbildungsstätten sowie von Hochschulen; private Ausbildungsstätten stehen öffentlichen gleich, wenn sie zu einer für den betreffenden Ausbildungsgang anerkannten Abschlußprüfung führen,</w:t>
      </w:r>
    </w:p>
    <w:p>
      <w:pPr>
        <w:ind w:left="420"/>
      </w:pPr>
      <w:r>
        <w:t xml:space="preserve">3. Besuch sonstiger Ausbildungsstätten sowie von Einrichtungen und Betrieben, wenn es im Einzelfall zweckmäßiger erscheint als der Besuch der unter Nummer 2 aufgeführten Ausbildungsstätten oder wenn das Ziel der Förderung auf andere Weise nicht erreicht werden kann,</w:t>
      </w:r>
    </w:p>
    <w:p>
      <w:pPr>
        <w:ind w:left="420"/>
      </w:pPr>
      <w:r>
        <w:t xml:space="preserve">4. Teilnahme am Fernunterricht, wenn dieser insbesondere wegen Art oder Schwere der Schädigung geeigneter als andere Maßnahmen ist, das Ziel der Fortbildung, Umschulung oder Ausbildung zu erreichen. Förderungsfähig ist die Teilnahme an Lehrgängen, die nach dem jeweils geltenden Fernunterrichtsschutzgesetz zugelassen sind oder von einer öffentlich-rechtlichen Stelle veranstaltet werden, ohne unter die Bestimmungen des Fernunterrichtsschutzgesetzes zu fallen. Als Schulausbildung sind Fernunterrichtslehrgänge nur förderungsfähig, wenn sie unter denselben Zugangsvoraussetzungen auf denselben Abschluß vorbereiten wie die in § 2 Abs. 1 und 3 des Bundesausbildungsförderungsgesetzes bestimmten Ausbildungsstätten,</w:t>
      </w:r>
    </w:p>
    <w:p>
      <w:pPr>
        <w:ind w:left="420"/>
      </w:pPr>
      <w:r>
        <w:t xml:space="preserve">5. Vorbereitung auf den Erwerb des Doktorgrads, wenn die Promotion üblicherweise die einzige Abschlußprüfung darstellt oder Voraussetzung für die Habilitation ist und die Erreichung dieses Zieles auf Grund einer besonderen Befähigung der Doktoranden zu wissenschaftlicher Arbeit erwartet werden kann, oder wenn Beschädigte ohne den Doktorgrad im Wettbewerb mit Nichtbeschädigten benachteiligt wären oder der Erwerb des Doktorgrads in einem bestimmten akademischen Beruf allgemein üblich ist.</w:t>
      </w:r>
    </w:p>
    <w:p>
      <w:r>
        <w:rPr>
          <w:color w:val="555555"/>
          <w:sz w:val="17"/>
        </w:rPr>
        <w:t xml:space="preserve">Zitiervorschlag: § 12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