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KFürsV — Allgemeine Bestimmungen</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(1) Die Leistungen zur Teilhabe am Arbeitsleben nach § 26 des Bundesversorgungsgesetzes sind darauf auszurichten, durch Hilfen zur Erhaltung oder Erlangung einer der Eignung, Neigung und bisherigen Tätigkeit des Beschädigten entsprechenden beruflichen Tätigkeit die Folgen der Schädigung angemessen auszugleichen oder zu mildern. Sie umfassen auch Maßnahmen zur Vorbereitung der Arbeits- und Berufsförderung sowie Maßnahmen zur Sicherung der Teilhabe am Arbeitsleben.</w:t>
      </w:r>
    </w:p>
    <w:p>
      <w:r>
        <w:t xml:space="preserve">(2) Die Einleitung von Leistungen zur Teilhabe am Arbeitsleben setzt voraus, daß</w:t>
      </w:r>
    </w:p>
    <w:p>
      <w:pPr>
        <w:ind w:left="420"/>
      </w:pPr>
      <w:r>
        <w:t xml:space="preserve">1. das Leistungsvermögen des Beschädigten erwarten läßt, daß er das Ziel der Leistungen zur Teilhabe am Arbeitsleben erreichen wird,</w:t>
      </w:r>
    </w:p>
    <w:p>
      <w:pPr>
        <w:ind w:left="420"/>
      </w:pPr>
      <w:r>
        <w:t xml:space="preserve">2. die Leistungen zur Teilhabe am Arbeitsleben der Eignung, Neigung und Fähigkeit des Beschädigten entsprechen,</w:t>
      </w:r>
    </w:p>
    <w:p>
      <w:pPr>
        <w:ind w:left="420"/>
      </w:pPr>
      <w:r>
        <w:t xml:space="preserve">3. der beabsichtigte Ausbildungsweg zweckmäßig ist,</w:t>
      </w:r>
    </w:p>
    <w:p>
      <w:pPr>
        <w:ind w:left="420"/>
      </w:pPr>
      <w:r>
        <w:t xml:space="preserve">4. der Beruf oder die Tätigkeit voraussichtlich eine ausreichende Lebensgrundlage vermittelt oder wenigstens dazu beiträgt, die Folgen der Schädigung zu mildern, wenn der Beschädigte infolge Art oder Schwere der Schädigung eine ausreichende Lebensgrundlage nicht mehr erlangen kann.</w:t>
      </w:r>
    </w:p>
    <w:p>
      <w:r>
        <w:t xml:space="preserve">(3) Von Maßnahmen nach § 6 Abs. 2 und § 8 soll abgesehen werden, wenn die Unterbringung im erlernten, ausgeübten oder in einem diesem verwandten und gleichwertigen Beruf, gegebenenfalls nach Beschaffung von Hilfsmitteln, Vorrichtungen an Maschinen oder anderen geeigneten Hilfen, noch möglich ist.</w:t>
      </w:r>
    </w:p>
    <w:p>
      <w:r>
        <w:t xml:space="preserve">(4) Leistungen zur Teilhabe am Arbeitsleben können auch während einer stationären Behandlung begonnen oder fortgeführt werden; dem Beschädigten soll zumindest die Erhaltung seiner beruflichen Kenntnisse ermöglicht werden.</w:t>
      </w:r>
    </w:p>
    <w:p>
      <w:r>
        <w:t xml:space="preserve">(5) Leistungen zur Teilhabe am Arbeitsleben werden auch durchgeführt, wenn der Beschädigte schon nach § 26 des Bundesversorgungsgesetzes gefördert worden ist. Die Einleitung neuer Maßnahmen hängt jedoch davon ab, daß der Beschädigte den Beruf, für den er bereits gefördert wurde, infolge der Schädigung nicht mehr ausüben kann oder daß frühere Maßnahmen aus Gründen, die der Beschädigte nicht zu vertreten hat, nicht zu einer ausreichenden Lebensgrundlage geführt haben.</w:t>
      </w:r>
    </w:p>
    <w:p>
      <w:r>
        <w:t xml:space="preserve">(6) Kann eine Maßnahme zur Teilhabe am Arbeitsleben aus Gründen, die der Beschädigte nicht zu vertreten hat, nicht zu dem in Aussicht genommenen Ziel geführt werden, sind weitere Maßnahmen nicht ausgeschlossen.</w:t>
      </w:r>
    </w:p>
    <w:p>
      <w:r>
        <w:t xml:space="preserve">(7) Wird eine Maßnahme zur Teilhabe am Arbeitsleben in Abschnitten durchgeführt, ist die Leistung für den jeweiligen Abschnitt festzustellen.</w:t>
      </w:r>
    </w:p>
    <w:p>
      <w:r>
        <w:rPr>
          <w:color w:val="555555"/>
          <w:sz w:val="17"/>
        </w:rPr>
        <w:t xml:space="preserve">Zitiervorschlag: § 1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