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KDVG 2003 — Widerspruchsverfahren</w:t>
      </w:r>
    </w:p>
    <w:p>
      <w:r>
        <w:rPr>
          <w:color w:val="555555"/>
          <w:sz w:val="18"/>
        </w:rPr>
        <w:t xml:space="preserve">Kriegsdienstverweigerungsgesetz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das Widerspruchsverfahren gelten die §§ 68 ff. der Verwaltungsgerichtsordnung, soweit in diesem Gesetz nichts anderes bestimmt ist.</w:t>
      </w:r>
    </w:p>
    <w:p>
      <w:r>
        <w:t xml:space="preserve">(2) Außer der Antragstellerin oder dem Antragsteller kann auch die gesetzliche Vertreterin oder der gesetzliche Vertreter im Widerspruchsverfahren selbstständig Anträge stellen und Rechtsbehelfe einlegen.</w:t>
      </w:r>
    </w:p>
    <w:p>
      <w:r>
        <w:t xml:space="preserve">(3) § 8 gilt für das Widerspruchsverfahren entsprechend.</w:t>
      </w:r>
    </w:p>
    <w:p>
      <w:r>
        <w:rPr>
          <w:color w:val="555555"/>
          <w:sz w:val="17"/>
        </w:rPr>
        <w:t xml:space="preserve">Zitiervorschlag: § 9 KDVG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https://recht.nulegal.eu/gesetze/KDVG%202003/9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