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KDVG 2003 — Ablehnung des Antrags</w:t>
      </w:r>
    </w:p>
    <w:p>
      <w:r>
        <w:rPr>
          <w:color w:val="555555"/>
          <w:sz w:val="18"/>
        </w:rPr>
        <w:t xml:space="preserve">Kriegsdienstverweigerungsgesetz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Das Bundesamt lehnt den Antrag ab, wenn</w:t>
      </w:r>
    </w:p>
    <w:p>
      <w:pPr>
        <w:ind w:left="420"/>
      </w:pPr>
      <w:r>
        <w:t xml:space="preserve">1. der Antragsteller die Musterung verweigert,</w:t>
      </w:r>
    </w:p>
    <w:p>
      <w:pPr>
        <w:ind w:left="420"/>
      </w:pPr>
      <w:r>
        <w:t xml:space="preserve">2. er nicht vollständig ist (§ 2 Abs. 2) und die Antragstellerin oder der Antragsteller ihn nicht innerhalb einer Frist von einem Monat nach Aufforderung durch das Bundesamt vervollständigt hat,</w:t>
      </w:r>
    </w:p>
    <w:p>
      <w:pPr>
        <w:ind w:left="420"/>
      </w:pPr>
      <w:r>
        <w:t xml:space="preserve">3. die in ihm dargelegten Beweggründe ein Recht auf Kriegsdienstverweigerung auch nach schriftlicher und gegebenenfalls mündlicher Anhörung der Antragstellerin oder des Antragstellers nicht zu begründen vermögen oder</w:t>
      </w:r>
    </w:p>
    <w:p>
      <w:pPr>
        <w:ind w:left="420"/>
      </w:pPr>
      <w:r>
        <w:t xml:space="preserve">4. Zweifel an der Wahrheit der Angaben der Antragstellerin oder des Antragstellers trotz der schriftlichen Anhörung oder einer mündlichen Anhörung nicht ausgeräumt wurden.</w:t>
      </w:r>
    </w:p>
    <w:p>
      <w:r>
        <w:t xml:space="preserve">(2) Folgt die Antragstellerin oder der Antragsteller einer Ladung zur mündlichen Anhörung nicht, entscheidet das Bundesamt nach Aktenlage.</w:t>
      </w:r>
    </w:p>
    <w:p>
      <w:r>
        <w:rPr>
          <w:color w:val="555555"/>
          <w:sz w:val="17"/>
        </w:rPr>
        <w:t xml:space="preserve">Zitiervorschlag: § 7 KDVG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https://recht.nulegal.eu/gesetze/KDVG%202003/7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