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KDVG 2003 — Anerkennung</w:t>
      </w:r>
    </w:p>
    <w:p>
      <w:r>
        <w:rPr>
          <w:color w:val="555555"/>
          <w:sz w:val="18"/>
        </w:rPr>
        <w:t xml:space="preserve">Kriegsdienstverweigerungsgesetz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Antragstellerin ist als Kriegsdienstverweigerin und der Antragsteller ist als Kriegsdienstverweigerer anzuerkennen, wenn</w:t>
      </w:r>
    </w:p>
    <w:p>
      <w:pPr>
        <w:ind w:left="420"/>
      </w:pPr>
      <w:r>
        <w:t xml:space="preserve">1. der Antrag vollständig ist (§ 2 Abs. 2),</w:t>
      </w:r>
    </w:p>
    <w:p>
      <w:pPr>
        <w:ind w:left="420"/>
      </w:pPr>
      <w:r>
        <w:t xml:space="preserve">2. die dargelegten Beweggründe das Recht auf Kriegsdienstverweigerung zu begründen geeignet sind und</w:t>
      </w:r>
    </w:p>
    <w:p>
      <w:pPr>
        <w:ind w:left="420"/>
      </w:pPr>
      <w:r>
        <w:t xml:space="preserve">3. das tatsächliche Gesamtvorbringen und die dem Bundesamt bekannten sonstigen Tatsachen keine Zweifel an der Wahrheit der Angaben der Antragstellerin oder des Antragstellers begründen oder die Zweifel aufgrund einer Anhörung nach § 6 nicht mehr bestehen.</w:t>
      </w:r>
    </w:p>
    <w:p>
      <w:r>
        <w:rPr>
          <w:color w:val="555555"/>
          <w:sz w:val="17"/>
        </w:rPr>
        <w:t xml:space="preserve">Zitiervorschlag: § 5 KDVG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https://recht.nulegal.eu/gesetze/KDVG%202003/5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