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KDVG 2003 — Vorrangige Entscheidung</w:t>
      </w:r>
    </w:p>
    <w:p>
      <w:r>
        <w:rPr>
          <w:color w:val="555555"/>
          <w:sz w:val="18"/>
        </w:rPr>
        <w:t xml:space="preserve">Kriegsdienstverweigerungsgesetz</w:t>
      </w:r>
    </w:p>
    <w:p>
      <w:r>
        <w:rPr>
          <w:color w:val="555555"/>
          <w:sz w:val="18"/>
        </w:rPr>
        <w:t xml:space="preserve">Stand: 10.06.2019 (konsolidierte Textfassung, kein amtliches Inkrafttretensdatum)</w:t>
      </w:r>
    </w:p>
    <w:p>
      <w:r>
        <w:t xml:space="preserve">Beantragt eine Soldatin oder ein Soldat die Anerkennung der Berechtigung, den Kriegsdienst mit der Waffe zu verweigern, ist über diesen Antrag vorrangig zu entscheiden. Das Gleiche gilt für einen ungedienten Wehrpflichtigen, der zum Wehrdienst einberufen oder schriftlich benachrichtigt worden ist, dass er als Ersatz für Ausfälle kurzfristig einberufen werden kann, sowie für Reservistinnen und Reservisten, die zu einer befristeten Übung oder Wehrübung einberufen worden sind.</w:t>
      </w:r>
    </w:p>
    <w:p>
      <w:r>
        <w:rPr>
          <w:color w:val="555555"/>
          <w:sz w:val="17"/>
        </w:rPr>
        <w:t xml:space="preserve">Zitiervorschlag: § 4 KDVG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https://recht.nulegal.eu/gesetze/KDVG%202003/4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