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KDVG 2003 — Antrag</w:t>
      </w:r>
    </w:p>
    <w:p>
      <w:r>
        <w:rPr>
          <w:color w:val="555555"/>
          <w:sz w:val="18"/>
        </w:rPr>
        <w:t xml:space="preserve">Kriegsdienstverweigerungsgesetz</w:t>
      </w:r>
    </w:p>
    <w:p>
      <w:r>
        <w:rPr>
          <w:color w:val="555555"/>
          <w:sz w:val="18"/>
        </w:rPr>
        <w:t xml:space="preserve">Stand: 01.01.2026 (konsolidierte Textfassung, kein amtliches Inkrafttretensdatum)</w:t>
      </w:r>
    </w:p>
    <w:p>
      <w:r>
        <w:t xml:space="preserve">(1) Über die Berechtigung, den Kriegsdienst mit der Waffe zu verweigern, entscheidet das Bundesamt für Familie und zivilgesellschaftliche Aufgaben (Bundesamt) auf Antrag.</w:t>
      </w:r>
    </w:p>
    <w:p>
      <w:r>
        <w:t xml:space="preserve">(2) Der Antrag ist schriftlich oder zur Niederschrift beim Bundesamt für das Personalmanagement der Bundeswehr zu stellen. Er muss die Berufung auf das Grundrecht der Kriegsdienstverweigerung im Sinne des Artikels 4 Absatz 3 Satz 1 des Grundgesetzes enthalten. Ein vollständiger tabellarischer Lebenslauf und eine persönliche ausführliche Darstellung der Beweggründe für die Gewissensentscheidung sind dem Antrag beizufügen.</w:t>
      </w:r>
    </w:p>
    <w:p>
      <w:r>
        <w:t xml:space="preserve">(3) Dem Antrag können Stellungnahmen und Beurteilungen Dritter zur Person und zum Verhalten der Antragstellerin oder des Antragstellers beigefügt werden. Außerdem können Personen benannt werden, die zu Auskünften über die Antragstellerin oder den Antragsteller bereit sind.</w:t>
      </w:r>
    </w:p>
    <w:p>
      <w:r>
        <w:t xml:space="preserve">(4) Der Antrag eines ungedienten Wehrpflichtigen kann frühestens sechs Monate vor Vollendung des 18. Lebensjahres gestellt werden. Einer Zustimmung der gesetzlichen Vertreterin oder des gesetzlichen Vertreters bedarf es nicht.</w:t>
      </w:r>
    </w:p>
    <w:p>
      <w:r>
        <w:t xml:space="preserve">(5) Abweichend von Absatz 4 kann ein Wehrpflichtiger den Antrag frühestens sechs Monate vor Vollendung des 17. Lebensjahres stellen, wenn er dem Antrag Folgendes beifügt:</w:t>
      </w:r>
    </w:p>
    <w:p>
      <w:pPr>
        <w:ind w:left="420"/>
      </w:pPr>
      <w:r>
        <w:t xml:space="preserve">1. einen Antrag auf vorgezogene Ableistung des Zivildienstes, dem seine gesetzliche Vertreterin oder sein gesetzlicher Vertreter zugestimmt hat, oder</w:t>
      </w:r>
    </w:p>
    <w:p>
      <w:pPr>
        <w:ind w:left="420"/>
      </w:pPr>
      <w:r>
        <w:t xml:space="preserve">2. folgende Dokumente:</w:t>
      </w:r>
    </w:p>
    <w:p>
      <w:pPr>
        <w:ind w:left="780"/>
      </w:pPr>
      <w:r>
        <w:t xml:space="preserve">a) den Entwurf einer Verpflichtung nach § 14c Absatz 1 des Zivildienstgesetzes,</w:t>
      </w:r>
    </w:p>
    <w:p>
      <w:pPr>
        <w:ind w:left="780"/>
      </w:pPr>
      <w:r>
        <w:t xml:space="preserve">b) die Erklärung seiner gesetzlichen Vertreterin oder seines gesetzlichen Vertreters, einer in Buchstabe a genannten Verpflichtung zuzustimmen, und</w:t>
      </w:r>
    </w:p>
    <w:p>
      <w:pPr>
        <w:ind w:left="780"/>
      </w:pPr>
      <w:r>
        <w:t xml:space="preserve">c) die Erklärung nach § 14c Absatz 3 des Zivildienstgesetzes, eine solche Verpflichtung mit dem Antragsteller nach dessen Anerkennung als Kriegsdienstverweigerer abschließen zu wollen.</w:t>
      </w:r>
    </w:p>
    <w:p>
      <w:r>
        <w:t xml:space="preserve">Wer einen Antrag nach Satz 1 gestellt hat, kann frühestens sechs Monate vor Vollendung des 17. Lebensjahres gemustert werden.</w:t>
      </w:r>
    </w:p>
    <w:p>
      <w:r>
        <w:t xml:space="preserve">(6) Das Bundesamt für das Personalmanagement der Bundeswehr bestätigt der Antragstellerin oder dem Antragsteller den Eingang des Antrags, nimmt diesen zur Grundakte der Personalakte und leitet die Grundakte dem Bundesamt zu. Die Zuleitung erfolgt unverzüglich, bei ungedienten Wehrpflichtigen sobald der Musterungsbescheid unanfechtbar geworden ist. Bei Berufssoldatinnen und Berufssoldaten sowie bei Soldatinnen auf Zeit und Soldaten auf Zeit ist den Personalakten eine Stellungnahme der oder des Disziplinarvorgesetzten und der personalbearbeitenden Stelle beizufügen.</w:t>
      </w:r>
    </w:p>
    <w:p>
      <w:r>
        <w:rPr>
          <w:color w:val="555555"/>
          <w:sz w:val="17"/>
        </w:rPr>
        <w:t xml:space="preserve">Zitiervorschlag: § 2 KDVG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https://recht.nulegal.eu/gesetze/KDVG%202003/2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