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KDVG 2003 — Anwendungsvorschrift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Entgegen § 2 Absatz 6 Satz 2 kann die Zuleitung des Antrags bei ungedienten Wehrpflichtigen, die vor dem 1. Januar 2010 geboren sind, ohne vorherige Musterung erfolgen.</w:t>
      </w:r>
    </w:p>
    <w:p>
      <w:r>
        <w:t xml:space="preserve">(2) Über Anträge, die ohne vorherige Musterung dem Bundesamt zugeleitet werden, soll spätestens innerhalb von neun Monaten seit Eingang beim Bundesamt für das Personalmanagement der Bundeswehr entschieden werden.</w:t>
      </w:r>
    </w:p>
    <w:p>
      <w:r>
        <w:t xml:space="preserve">(3) § 3 Absatz 2 Satz 2 und § 11 Absatz 1 Nummer 1 sind auf Fälle nach Absatz 1 nicht anzuwenden.</w:t>
      </w:r>
    </w:p>
    <w:p>
      <w:r>
        <w:rPr>
          <w:color w:val="555555"/>
          <w:sz w:val="17"/>
        </w:rPr>
        <w:t xml:space="preserve">Zitiervorschlag: § 13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