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KDVG 2003 — Spannungs- und Verteidigungsfall, Bereitschaftsdienst</w:t>
      </w:r>
    </w:p>
    <w:p>
      <w:r>
        <w:rPr>
          <w:color w:val="555555"/>
          <w:sz w:val="18"/>
        </w:rPr>
        <w:t xml:space="preserve">Kriegsdienstverweigerungsgesetz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Spannungsfall (Artikel 80a des Grundgesetzes) und im Verteidigungsfall (Artikel 115a des Grundgesetzes)</w:t>
      </w:r>
    </w:p>
    <w:p>
      <w:pPr>
        <w:ind w:left="420"/>
      </w:pPr>
      <w:r>
        <w:t xml:space="preserve">1. ist § 3 Abs. 2 Satz 1 nicht anzuwenden,</w:t>
      </w:r>
    </w:p>
    <w:p>
      <w:pPr>
        <w:ind w:left="420"/>
      </w:pPr>
      <w:r>
        <w:t xml:space="preserve">2. kann die Frist nach § 6 Abs. 1 Satz 1 auf zwei Wochen verkürzt werden und</w:t>
      </w:r>
    </w:p>
    <w:p>
      <w:pPr>
        <w:ind w:left="420"/>
      </w:pPr>
      <w:r>
        <w:t xml:space="preserve">3. ist der Widerspruch gegen eine Entscheidung des Bundesamtes innerhalb einer Woche nach ihrer Bekanntgabe zu erheben.</w:t>
      </w:r>
    </w:p>
    <w:p>
      <w:r>
        <w:t xml:space="preserve">(2) Absatz 1 ist auf Wehrübungen und Übungen, die von der Bundesregierung als Bereitschaftsdienst angeordnet worden sind (§ 6 Abs. 6 des Wehrpflichtgesetzes, § 61 Abs. 3 des Soldatengesetzes), entsprechend anzuwenden.</w:t>
      </w:r>
    </w:p>
    <w:p>
      <w:r>
        <w:rPr>
          <w:color w:val="555555"/>
          <w:sz w:val="17"/>
        </w:rPr>
        <w:t xml:space="preserve">Zitiervorschlag: § 11 KDVG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https://recht.nulegal.eu/gesetze/KDVG%202003/11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