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KDVG 2003 — Grundsatz</w:t>
      </w:r>
    </w:p>
    <w:p>
      <w:r>
        <w:rPr>
          <w:color w:val="555555"/>
          <w:sz w:val="18"/>
        </w:rPr>
        <w:t xml:space="preserve">Kriegsdienstverweigerungsgesetz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aus Gewissensgründen unter Berufung auf das Grundrecht der Kriegsdienstverweigerung im Sinne des Artikels 4 Abs. 3 Satz 1 des Grundgesetzes den Kriegsdienst mit der Waffe verweigert, wird nach den Vorschriften dieses Gesetzes als Kriegsdienstverweigerin oder Kriegsdienstverweigerer anerkannt.</w:t>
      </w:r>
    </w:p>
    <w:p>
      <w:r>
        <w:t xml:space="preserve">(2) Wehrpflichtige, die als Kriegsdienstverweigerer anerkannt worden sind, haben im Spannungs- oder Verteidigungsfall statt des Wehrdienstes Zivildienst außerhalb der Bundeswehr als Ersatzdienst nach Artikel 12a Absatz 2 des Grundgesetzes zu leisten.</w:t>
      </w:r>
    </w:p>
    <w:p>
      <w:r>
        <w:rPr>
          <w:color w:val="555555"/>
          <w:sz w:val="17"/>
        </w:rPr>
        <w:t xml:space="preserve">Zitiervorschlag: § 1 KDVG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https://recht.nulegal.eu/gesetze/KDVG%202003/1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