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KDVErstattV — Tagegeld, Übernachtungsgeld</w:t>
      </w:r>
    </w:p>
    <w:p>
      <w:r>
        <w:rPr>
          <w:color w:val="555555"/>
          <w:sz w:val="18"/>
        </w:rPr>
        <w:t xml:space="preserve">KDV-Erstattungsverordnung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Tage- und Übernachtungsgeld gelten die Bestimmungen des Bundesreisekostengesetzes in der jeweils geltenden Fassung.</w:t>
      </w:r>
    </w:p>
    <w:p>
      <w:r>
        <w:rPr>
          <w:color w:val="555555"/>
          <w:sz w:val="17"/>
        </w:rPr>
        <w:t xml:space="preserve">Zitiervorschlag: § 2 KDVErstattV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https://recht.nulegal.eu/gesetze/KDVErstattV/2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