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KDV — Datenschutz</w:t>
      </w:r>
    </w:p>
    <w:p>
      <w:r>
        <w:rPr>
          <w:color w:val="555555"/>
          <w:sz w:val="18"/>
        </w:rPr>
        <w:t xml:space="preserve">Krisendestillationsverordnung</w:t>
      </w:r>
    </w:p>
    <w:p>
      <w:r>
        <w:rPr>
          <w:color w:val="555555"/>
          <w:sz w:val="18"/>
        </w:rPr>
        <w:t xml:space="preserve">Historische Fassung: Stand 07.04.2024 bis 01.01.2026. Dies ist nicht die aktuelle Fassung.</w:t>
      </w:r>
    </w:p>
    <w:p>
      <w:r>
        <w:t xml:space="preserve">Zum Zwecke der Bewilligung eines Antrags auf Krisendestillation sowie zur Durchführung von Kontrollen dürfen die zuständigen Landesstellen die erforderlichen personen- und betriebsbezogenen Daten nach der Anlage des Marktorganisationsgesetzes verarbeiten und übermitteln.</w:t>
      </w:r>
    </w:p>
    <w:p>
      <w:r>
        <w:rPr>
          <w:color w:val="555555"/>
          <w:sz w:val="17"/>
        </w:rPr>
        <w:t xml:space="preserve">Zitiervorschlag: § 7 KDV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