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KDV — Anwendungsbereich und Zuständigkeit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(1) Die Vorschriften dieser Verordnung gelten für die Durchführung von Maßnahmen nach Artikel 2 der Delegierten Verordnung (EU) 2023/1225 der Kommission vom 22. Juni 2023 über befristete außergewöhnliche Maßnahmen zur Abweichung von bestimmten Vorschriften der Verordnung (EU) Nr. 1308/2013 des Europäischen Parlaments und des Rates zur Behebung der Marktstörungen im Weinsektor einiger Mitgliedstaaten und zur Abweichung von der Delegierten Verordnung (EU) 2016/1149 der Kommission (ABl. L 160 vom 26.6.2023, S. 12).</w:t>
      </w:r>
    </w:p>
    <w:p>
      <w:r>
        <w:t xml:space="preserve">(2) Zuständig für die Durchführung des Unionsrechts und dieser Verordnung sind die nach Landesrecht zuständigen Stellen, soweit in dieser Verordnung nichts anderes bestimmt ist.</w:t>
      </w:r>
    </w:p>
    <w:p>
      <w:r>
        <w:rPr>
          <w:color w:val="555555"/>
          <w:sz w:val="17"/>
        </w:rPr>
        <w:t xml:space="preserve">Zitiervorschlag: § 1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