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KDAV — Datenübermittlung durch den Verpflichteten</w:t>
      </w:r>
    </w:p>
    <w:p>
      <w:r>
        <w:rPr>
          <w:color w:val="555555"/>
          <w:sz w:val="18"/>
        </w:rPr>
        <w:t xml:space="preserve">Kundendatenauskunftsverordnung</w:t>
      </w:r>
    </w:p>
    <w:p>
      <w:r>
        <w:rPr>
          <w:color w:val="555555"/>
          <w:sz w:val="18"/>
        </w:rPr>
        <w:t xml:space="preserve">Stand: 01.12.2021 (konsolidierte Textfassung, kein amtliches Inkrafttretensdatum)</w:t>
      </w:r>
    </w:p>
    <w:p>
      <w:r>
        <w:t xml:space="preserve">(1) Auf Grund einer Abfrage hat der Verpflichtete unverzüglich die Gesamtheit der aktuellen Kundendaten zum ermittlungsrelevanten Stichtag oder zum ermittlungsrelevanten Zeitraum, die zu einer Rufnummer nach § 172 Absatz 1 Satz 1 und Absatz 3 des Telekommunikationsgesetzes erhoben wurden und in der Kundendatei nach § 173 Absatz 1 Satz 1 bis 3 des Telekommunikationsgesetzes gespeichert sind, an die Bundesnetzagentur zu übermitteln. Die Übermittlung der aktuellen Kundendaten umfasst auch die Übermittlung der Angabe anderer Anschlusskennungen sowie die Übermittlung der Kennungen elektronischer Postfächer, die von dem Verpflichteten vergeben wurden. Die Bundesnetzagentur legt in der Technischen Richtlinie fest, welche Anschlusskennungen von den Verpflichteten zu beauskunften sind.</w:t>
      </w:r>
    </w:p>
    <w:p>
      <w:r>
        <w:t xml:space="preserve">(2) Werden mehr als 40 Anschlussinhaber ermittelt</w:t>
      </w:r>
    </w:p>
    <w:p>
      <w:pPr>
        <w:ind w:left="420"/>
      </w:pPr>
      <w:r>
        <w:t xml:space="preserve">1. für ein personenbasiertes Ersuchen, das nicht alle Angaben nach § 3 Absatz 1 Satz 1 enthält,</w:t>
      </w:r>
    </w:p>
    <w:p>
      <w:pPr>
        <w:ind w:left="420"/>
      </w:pPr>
      <w:r>
        <w:t xml:space="preserve">2. bei der Verwendung einer Platzhaltersuche,</w:t>
      </w:r>
    </w:p>
    <w:p>
      <w:pPr>
        <w:ind w:left="420"/>
      </w:pPr>
      <w:r>
        <w:t xml:space="preserve">3. bei der Verwendung einer phonetischen Suche oder</w:t>
      </w:r>
    </w:p>
    <w:p>
      <w:pPr>
        <w:ind w:left="420"/>
      </w:pPr>
      <w:r>
        <w:t xml:space="preserve">4. für ein anschriftenbasiertes Ersuchen,</w:t>
      </w:r>
    </w:p>
    <w:p>
      <w:r>
        <w:t xml:space="preserve">teilt der Verpflichtete der Bundesnetzagentur als Antwort ausschließlich die Anzahl der gefundenen Datensätze mit.</w:t>
      </w:r>
    </w:p>
    <w:p>
      <w:r>
        <w:rPr>
          <w:color w:val="555555"/>
          <w:sz w:val="17"/>
        </w:rPr>
        <w:t xml:space="preserve">Zitiervorschlag: § 7 KDAV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https://recht.nulegal.eu/gesetze/KDAV/7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