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KDAV — Abfrage der Daten</w:t>
      </w:r>
    </w:p>
    <w:p>
      <w:r>
        <w:rPr>
          <w:color w:val="555555"/>
          <w:sz w:val="18"/>
        </w:rPr>
        <w:t xml:space="preserve">Kundendatenauskunftsverordnung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Bundesnetzagentur übernimmt aus dem Ersuchen die Daten ohne die Angaben nach § 2 Absatz 1 und leitet die Daten unverzüglich an die in Betracht kommenden Verpflichteten weiter.</w:t>
      </w:r>
    </w:p>
    <w:p>
      <w:r>
        <w:t xml:space="preserve">(2) Der Verpflichtete muss seine technischen Systeme jederzeit zum Empfang von Abfragen der Bundesnetzagentur bereithalten. Zur Empfangsbereitschaft gehören insbesondere die Einrichtung und die laufende Bereitstellung eines geeigneten Telekommunikationsanschlusses.</w:t>
      </w:r>
    </w:p>
    <w:p>
      <w:r>
        <w:rPr>
          <w:color w:val="555555"/>
          <w:sz w:val="17"/>
        </w:rPr>
        <w:t xml:space="preserve">Zitiervorschlag: § 6 KDAV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https://recht.nulegal.eu/gesetze/KDAV/6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