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KDAV — Ersuchen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Ein Ersuchen, das der Bundesnetzagentur im automatisierten Auskunftsverfahren von einer ersuchenden Stelle nach § 173 Absatz 4 des Telekommunikationsgesetzes vorgelegt wird, kann personenbasiert, nummernbasiert oder anschriftenbasiert erfolgen. Das Ersuchen muss folgende Angaben enthalten:</w:t>
      </w:r>
    </w:p>
    <w:p>
      <w:pPr>
        <w:ind w:left="420"/>
      </w:pPr>
      <w:r>
        <w:t xml:space="preserve">1. die genaue Bezeichnung der ersuchenden Stelle,</w:t>
      </w:r>
    </w:p>
    <w:p>
      <w:pPr>
        <w:ind w:left="420"/>
      </w:pPr>
      <w:r>
        <w:t xml:space="preserve">2. die Kennung, die der ersuchenden Stelle von der Bundesnetzagentur zur Verwendung im automatisierten Auskunftsverfahren zugeteilt wurde,</w:t>
      </w:r>
    </w:p>
    <w:p>
      <w:pPr>
        <w:ind w:left="420"/>
      </w:pPr>
      <w:r>
        <w:t xml:space="preserve">3. das Aktenzeichen, welches dem Verfahren oder dem sonstigen Vorgang von der ersuchenden Stelle zur Erfüllung ihrer gesetzlichen Aufgaben zugeordnet wurde,</w:t>
      </w:r>
    </w:p>
    <w:p>
      <w:pPr>
        <w:ind w:left="420"/>
      </w:pPr>
      <w:r>
        <w:t xml:space="preserve">4. ein Datum, dass die Bearbeiterin oder den Bearbeiter des Ersuchens eindeutig bezeichnet, und</w:t>
      </w:r>
    </w:p>
    <w:p>
      <w:pPr>
        <w:ind w:left="420"/>
      </w:pPr>
      <w:r>
        <w:t xml:space="preserve">5. das aktuelle Kalenderdatum.</w:t>
      </w:r>
    </w:p>
    <w:p>
      <w:r>
        <w:t xml:space="preserve">(2) Ersuchen dürfen nicht ausschließlich selbsttätig von einem IT-System erzeugt werden.</w:t>
      </w:r>
    </w:p>
    <w:p>
      <w:r>
        <w:rPr>
          <w:color w:val="555555"/>
          <w:sz w:val="17"/>
        </w:rPr>
        <w:t xml:space="preserve">Zitiervorschlag: § 2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