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KCanWissZustV</w:t>
      </w:r>
    </w:p>
    <w:p>
      <w:r>
        <w:rPr>
          <w:color w:val="555555"/>
          <w:sz w:val="18"/>
        </w:rPr>
        <w:t xml:space="preserve">Konsumcannabis-Wissenschafts-Zuständigkeitsverordnung</w:t>
      </w:r>
    </w:p>
    <w:p>
      <w:r>
        <w:rPr>
          <w:color w:val="555555"/>
          <w:sz w:val="18"/>
        </w:rPr>
        <w:t xml:space="preserve">Stand: 18.12.2024 (konsolidierte Textfassung, kein amtliches Inkrafttretensdatum)</w:t>
      </w:r>
    </w:p>
    <w:p>
      <w:r>
        <w:t xml:space="preserve">Auf Grund des § 2 Absatz 4 Satz 6 des Konsumcannabisgesetzes vom 27. März 2024 (BGBl. 2024 I Nr. 109, S. 2)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KCanWissZustV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https://recht.nulegal.eu/gesetze/KCanWissZustV/eingangsformel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