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KCanWissZustV — Inkrafttreten</w:t>
      </w:r>
    </w:p>
    <w:p>
      <w:r>
        <w:rPr>
          <w:color w:val="555555"/>
          <w:sz w:val="18"/>
        </w:rPr>
        <w:t xml:space="preserve">Konsumcannabis-Wissenschafts-Zuständigkeitsverordnung</w:t>
      </w:r>
    </w:p>
    <w:p>
      <w:r>
        <w:rPr>
          <w:color w:val="555555"/>
          <w:sz w:val="18"/>
        </w:rPr>
        <w:t xml:space="preserve">Stand: 18.12.2024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KCanWissZustV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https://recht.nulegal.eu/gesetze/KCanWissZustV/2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