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KCanWissZustV — Zuständige Behörde</w:t>
      </w:r>
    </w:p>
    <w:p>
      <w:r>
        <w:rPr>
          <w:color w:val="555555"/>
          <w:sz w:val="18"/>
        </w:rPr>
        <w:t xml:space="preserve">Konsumcannabis-Wissenschafts-Zuständigkeitsverordnung</w:t>
      </w:r>
    </w:p>
    <w:p>
      <w:r>
        <w:rPr>
          <w:color w:val="555555"/>
          <w:sz w:val="18"/>
        </w:rPr>
        <w:t xml:space="preserve">Stand: 18.12.2024 (konsolidierte Textfassung, kein amtliches Inkrafttretensdatum)</w:t>
      </w:r>
    </w:p>
    <w:p>
      <w:r>
        <w:t xml:space="preserve">Die Bundesanstalt für Landwirtschaft und Ernährung ist zuständig für</w:t>
      </w:r>
    </w:p>
    <w:p>
      <w:pPr>
        <w:ind w:left="420"/>
      </w:pPr>
      <w:r>
        <w:t xml:space="preserve">1. die Erteilung der Erlaubnis nach § 2 Absatz 4 Satz 1 des Konsumcannabisgesetzes und</w:t>
      </w:r>
    </w:p>
    <w:p>
      <w:pPr>
        <w:ind w:left="420"/>
      </w:pPr>
      <w:r>
        <w:t xml:space="preserve">2. die Überwachung und die Durchführung der in § 2 Absatz 4 Satz 3 bis 5 des Konsumcannabisgesetzes genannten Regelungen.</w:t>
      </w:r>
    </w:p>
    <w:p>
      <w:r>
        <w:rPr>
          <w:color w:val="555555"/>
          <w:sz w:val="17"/>
        </w:rPr>
        <w:t xml:space="preserve">Zitiervorschlag: § 1 KCanWissZustV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https://recht.nulegal.eu/gesetze/KCanWissZustV/1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