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KCanG — Frühintervention</w:t>
      </w:r>
    </w:p>
    <w:p>
      <w:r>
        <w:rPr>
          <w:color w:val="555555"/>
          <w:sz w:val="18"/>
        </w:rPr>
        <w:t xml:space="preserve">Konsumcannabisgesetz</w:t>
      </w:r>
    </w:p>
    <w:p>
      <w:r>
        <w:rPr>
          <w:color w:val="555555"/>
          <w:sz w:val="18"/>
        </w:rPr>
        <w:t xml:space="preserve">Stand: 01.04.2024 (konsolidierte Textfassung, kein amtliches Inkrafttretensdatum)</w:t>
      </w:r>
    </w:p>
    <w:p>
      <w:r>
        <w:t xml:space="preserve">(1) Verstößt eine minderjährige Person gegen § 2 Absatz 1 Nummer 1, 2 oder Nummer 12, ohne sich nach § 34 Absatz 1 Nummer 1, 2 oder Nummer 12 strafbar zu machen, hat die zuständige Polizei- und Ordnungsbehörde unverzüglich die Personensorgeberechtigten hierüber zu informieren.</w:t>
      </w:r>
    </w:p>
    <w:p>
      <w:r>
        <w:t xml:space="preserve">(2) Bei gewichtigen Anhaltspunkten für die Gefährdung des Wohls des Kindes oder des Jugendlichen hat die zuständige Polizei- und Ordnungsbehörde darüber hinaus unverzüglich den zuständigen örtlichen Träger der öffentlichen Jugendhilfe zu informieren und die aus ihrer Sicht zur Einschätzung des Gefährdungsrisikos erforderlichen Daten zu übermitteln. Gewichtige Anhaltspunkte für eine Gefährdung können insbesondere bei Hinweisen auf ein riskantes Konsumverhalten unter besonderer Berücksichtigung des Alters der minderjährigen Person vorliegen. § 4 Absatz 2 des Gesetzes zur Kooperation und Information im Kinderschutz gilt entsprechend.</w:t>
      </w:r>
    </w:p>
    <w:p>
      <w:r>
        <w:t xml:space="preserve">(3) Der zuständige örtliche Träger der öffentlichen Jugendhilfe hat unter Einbeziehung der Personensorgeberechtigten darauf hinzuwirken, dass Kinder und Jugendliche geeignete Frühinterventionsprogramme oder vergleichbare Maßnahmen auch anderer Leistungsträger in Anspruch nehmen.</w:t>
      </w:r>
    </w:p>
    <w:p>
      <w:r>
        <w:rPr>
          <w:color w:val="555555"/>
          <w:sz w:val="17"/>
        </w:rPr>
        <w:t xml:space="preserve">Zitiervorschlag: § 7 KCanG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https://recht.nulegal.eu/gesetze/KCanG/7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