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42 KCanG — Verfahren zur Tilgung von Eintragungen aus dem Bundeszentralregister</w:t>
      </w:r>
    </w:p>
    <w:p>
      <w:r>
        <w:rPr>
          <w:color w:val="555555"/>
          <w:sz w:val="18"/>
        </w:rPr>
        <w:t xml:space="preserve">Konsumcannabisgesetz</w:t>
      </w:r>
    </w:p>
    <w:p>
      <w:r>
        <w:rPr>
          <w:color w:val="555555"/>
          <w:sz w:val="18"/>
        </w:rPr>
        <w:t xml:space="preserve">Stand: 01.01.2025 (konsolidierte Textfassung, kein amtliches Inkrafttretensdatum)</w:t>
      </w:r>
    </w:p>
    <w:p>
      <w:r>
        <w:t xml:space="preserve">(1) Stellt die Staatsanwaltschaft die Tilgungsfähigkeit einer Eintragung im Bundeszentralregister über eine strafgerichtliche Verurteilung oder über eine strafgerichtliche Entscheidung fest (§ 41), so hat sie dies der Registerbehörde und der verurteilten Person mitzuteilen. Liegen die Voraussetzungen für die Tilgung nicht vor, so hat die Staatsanwaltschaft die verurteilte Person darüber unter Angabe der Gründe zu bescheiden.</w:t>
      </w:r>
    </w:p>
    <w:p>
      <w:r>
        <w:t xml:space="preserve">(2) Eintragungen im Bundeszentralregister über strafgerichtliche Verurteilungen oder Entscheidungen, deren Tilgungsfähigkeit nach § 41 durch die Staatsanwaltschaft festgestellt und von dieser der Registerbehörde mitgeteilt worden ist, sind durch die Registerbehörde zu tilgen.</w:t>
      </w:r>
    </w:p>
    <w:p>
      <w:r>
        <w:rPr>
          <w:color w:val="555555"/>
          <w:sz w:val="17"/>
        </w:rPr>
        <w:t xml:space="preserve">Zitiervorschlag: § 42 KCanG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https://recht.nulegal.eu/gesetze/KCanG/42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