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KCanG — Umgang mit Cannabissamen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Der Umgang mit Cannabissamen ist erlaubt, sofern die Cannabissamen nicht zum unerlaubten Anbau bestimmt sind.</w:t>
      </w:r>
    </w:p>
    <w:p>
      <w:r>
        <w:t xml:space="preserve">(2) Abweichend von Absatz 1 ist die Einfuhr von Cannabissamen zum Zweck des privaten Eigenanbaus von Cannabis nach § 9 oder des gemeinschaftlichen Eigenanbaus von Cannabis in Anbauvereinigungen nach Kapitel 4 nur aus Mitgliedstaaten der Europäischen Union erlaubt.</w:t>
      </w:r>
    </w:p>
    <w:p>
      <w:r>
        <w:t xml:space="preserve">(3) Die Bestimmungen zum Umgang mit Vermehrungsmaterial nach § 10 sowie Kapitel 4 bleiben von Absatz 1 unberührt.</w:t>
      </w:r>
    </w:p>
    <w:p>
      <w:r>
        <w:t xml:space="preserve">(4) Cannabissamen, die entgegen Absatz 2 eingeführt worden sind oder eingeführt werden sollen, können sichergestellt werden; § 2 Absatz 6 gilt entsprechend.</w:t>
      </w:r>
    </w:p>
    <w:p>
      <w:r>
        <w:rPr>
          <w:color w:val="555555"/>
          <w:sz w:val="17"/>
        </w:rPr>
        <w:t xml:space="preserve">Zitiervorschlag: § 4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