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39 KCanG — Besondere Regelungen bei Vorliegen einer cannabisbezogenen Abhängigkeitserkrankung</w:t>
      </w:r>
    </w:p>
    <w:p>
      <w:r>
        <w:rPr>
          <w:color w:val="555555"/>
          <w:sz w:val="18"/>
        </w:rPr>
        <w:t xml:space="preserve">Konsumcannabisgesetz</w:t>
      </w:r>
    </w:p>
    <w:p>
      <w:r>
        <w:rPr>
          <w:color w:val="555555"/>
          <w:sz w:val="18"/>
        </w:rPr>
        <w:t xml:space="preserve">Stand: 01.04.2024 (konsolidierte Textfassung, kein amtliches Inkrafttretensdatum)</w:t>
      </w:r>
    </w:p>
    <w:p>
      <w:r>
        <w:t xml:space="preserve">Die §§ 35 bis 38 des Betäubungsmittelgesetzes finden auch bei cannabisbezogener Abhängigkeitserkrankung Anwendung.</w:t>
      </w:r>
    </w:p>
    <w:p>
      <w:r>
        <w:rPr>
          <w:color w:val="555555"/>
          <w:sz w:val="17"/>
        </w:rPr>
        <w:t xml:space="preserve">Zitiervorschlag: § 39 KCanG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https://recht.nulegal.eu/gesetze/KCanG/39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