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KCanG — Einziehung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Gegenstände, auf die sich eine Straftat nach § 34 oder eine Ordnungswidrigkeit nach § 36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37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