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KCanG — Sicherung und Transport von Cannabis und Vermehrungsmaterial</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haben Cannabis und Vermehrungsmaterial gegen den Zugriff durch unbefugte Dritte, insbesondere durch Kinder und Jugendliche, zu schützen. Befriedetes Besitztum, in oder auf dem Cannabis und Vermehrungsmaterial angebaut, gewonnen oder gelagert wird, ist durch Umzäunung, einbruchsichere Türen und Fenster oder andere geeignete Schutzmaßnahmen gegen unbefugtes Betreten und gegen die Wegnahme von Cannabis oder Vermehrungsmaterial zu sichern.</w:t>
      </w:r>
    </w:p>
    <w:p>
      <w:r>
        <w:t xml:space="preserve">(2) Anbauvereinigungen dürfen Cannabis und Vermehrungsmaterial nicht außerhalb des in der Erlaubnis nach § 11 Absatz 1 genannten befriedeten Besitztums lagern oder mit Ausnahme der in den Absätzen 3 und 5 genannten Fälle an andere Orte als das in der Erlaubnis nach § 11 Absatz 1 genannte befriedete Besitztum verbringen.</w:t>
      </w:r>
    </w:p>
    <w:p>
      <w:r>
        <w:t xml:space="preserve">(3) Der Transport von mehr als 25 Gramm Cannabis zwischen Teilen des befriedeten Besitztums derselben Anbauvereinigung ist zulässig, wenn die Teile räumlich unmittelbar miteinander verbunden sind oder wenn</w:t>
      </w:r>
    </w:p>
    <w:p>
      <w:pPr>
        <w:ind w:left="420"/>
      </w:pPr>
      <w:r>
        <w:t xml:space="preserve">1. die Menge des jeweils transportierten Cannabis ein Zwölftel der nach § 13 Absatz 3 erlaubten jährlichen Eigenanbau- und Weitergabemenge nicht überschreitet,</w:t>
      </w:r>
    </w:p>
    <w:p>
      <w:pPr>
        <w:ind w:left="420"/>
      </w:pPr>
      <w:r>
        <w:t xml:space="preserve">2. das transportierte Cannabis gegen den Zugriff durch unbefugte Dritte, insbesondere durch Kinder und Jugendliche, geschützt und das zum Transport verwendete Behältnis durch geeignete Schutzmaßnahmen gegen die Wegnahme des Cannabis gesichert ist,</w:t>
      </w:r>
    </w:p>
    <w:p>
      <w:pPr>
        <w:ind w:left="420"/>
      </w:pPr>
      <w:r>
        <w:t xml:space="preserve">3. die Anbauvereinigung das Datum, die Start- und Zieladresse des Transports sowie die Mengen in Gramm und Sorten des transportierten Cannabis spätestens einen Werktag vor Beginn des Transports gegenüber der zuständigen Behörde schriftlich oder elektronisch anzeigt,</w:t>
      </w:r>
    </w:p>
    <w:p>
      <w:pPr>
        <w:ind w:left="420"/>
      </w:pPr>
      <w:r>
        <w:t xml:space="preserve">4. der Transport durch mindestens ein Mitglied oder in Begleitung mindestens eines Mitglieds der Anbauvereinigung durchgeführt wird und</w:t>
      </w:r>
    </w:p>
    <w:p>
      <w:pPr>
        <w:ind w:left="420"/>
      </w:pPr>
      <w:r>
        <w:t xml:space="preserve">5. das den Transport durchführende oder begleitende Mitglied beim Transport seinen Mitgliedsausweis der Anbauvereinigung, eine analoge oder digitale Kopie der Erlaubnis der Anbauvereinigung nach § 11 Absatz 1 sowie eine von der Anbauvereinigung ausgestellte und von einer vertretungsberechtigten Person der Anbauvereinigung eigenhändig unterzeichnete Transportbescheinigung mit sich führt.</w:t>
      </w:r>
    </w:p>
    <w:p>
      <w:r>
        <w:t xml:space="preserve">(4) Die in Absatz 3 Nummer 5 genannte Transportbescheinigung muss die folgenden Angaben enthalten:</w:t>
      </w:r>
    </w:p>
    <w:p>
      <w:pPr>
        <w:ind w:left="420"/>
      </w:pPr>
      <w:r>
        <w:t xml:space="preserve">1. Name und Anschrift des Sitzes der Anbauvereinigung,</w:t>
      </w:r>
    </w:p>
    <w:p>
      <w:pPr>
        <w:ind w:left="420"/>
      </w:pPr>
      <w:r>
        <w:t xml:space="preserve">2. Datum des Transports,</w:t>
      </w:r>
    </w:p>
    <w:p>
      <w:pPr>
        <w:ind w:left="420"/>
      </w:pPr>
      <w:r>
        <w:t xml:space="preserve">3. Start- und Zieladresse des Transports,</w:t>
      </w:r>
    </w:p>
    <w:p>
      <w:pPr>
        <w:ind w:left="420"/>
      </w:pPr>
      <w:r>
        <w:t xml:space="preserve">4. Mengen in Gramm und Sorten des transportierten Cannabis und</w:t>
      </w:r>
    </w:p>
    <w:p>
      <w:pPr>
        <w:ind w:left="420"/>
      </w:pPr>
      <w:r>
        <w:t xml:space="preserve">5. Name und Kontaktdaten der für die Anzeige nach Absatz 3 Nummer 3 zuständigen Behörde.</w:t>
      </w:r>
    </w:p>
    <w:p>
      <w:r>
        <w:t xml:space="preserve">(5) Der Transport von Vermehrungsmaterial zwischen den Teilen des befriedeten Besitztums derselben Anbauvereinigung oder zwischen dem befriedeten Besitztum unterschiedlicher Anbauvereinigungen ist zulässig; § 20 Absatz 5 bleibt unberührt.</w:t>
      </w:r>
    </w:p>
    <w:p>
      <w:r>
        <w:rPr>
          <w:color w:val="555555"/>
          <w:sz w:val="17"/>
        </w:rPr>
        <w:t xml:space="preserve">Zitiervorschlag: § 22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