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KCanG — Maßnahmen zur Qualitätssicherung durch Anbauvereinigungen</w:t>
      </w:r>
    </w:p>
    <w:p>
      <w:r>
        <w:rPr>
          <w:color w:val="555555"/>
          <w:sz w:val="18"/>
        </w:rPr>
        <w:t xml:space="preserve">Konsumcannabisgesetz</w:t>
      </w:r>
    </w:p>
    <w:p>
      <w:r>
        <w:rPr>
          <w:color w:val="555555"/>
          <w:sz w:val="18"/>
        </w:rPr>
        <w:t xml:space="preserve">Stand: 01.07.2024 (konsolidierte Textfassung, kein amtliches Inkrafttretensdatum)</w:t>
      </w:r>
    </w:p>
    <w:p>
      <w:r>
        <w:t xml:space="preserve">(1) Anbauvereinigungen haben sicherzustellen, dass bei ihrer Tätigkeit jederzeit die Vorgaben dieses Gesetzes und der auf Grund dieses Gesetzes erlassenen Vorschriften eingehalten werden. Sie haben Risiken für die menschliche Gesundheit zu vermeiden, die über die typischen Gefahren des Konsums von Cannabis hinausgehen. Ein Risiko im Sinne von Satz 2 ist zu vermuten, wenn das von der Anbauvereinigung weitergegebene Cannabis oder Vermehrungsmaterial gemäß den Absätzen 4 und 5 nicht weitergabefähig ist.</w:t>
      </w:r>
    </w:p>
    <w:p>
      <w:r>
        <w:t xml:space="preserve">(2) Zur Überprüfung der Qualität des angebauten Cannabis, des beim gemeinschaftlichen Eigenanbau gewonnenen Vermehrungsmaterials und des erworbenen Vermehrungsmaterials sowie zur Einhaltung der Vorgaben dieses Gesetzes und der auf Grund dieses Gesetzes erlassenen Vorschriften, insbesondere zur Einhaltung der Vorgaben des § 19 Absatz 3 Satz 2, haben die Anbauvereinigungen regelmäßig Stichproben von dem angebauten Cannabis und dem genannten Vermehrungsmaterial zu nehmen und zu untersuchen und deren Weitergabefähigkeit nach den Absätzen 4 und 5 sicherzustellen.</w:t>
      </w:r>
    </w:p>
    <w:p>
      <w:r>
        <w:t xml:space="preserve">(3) Anbauvereinigungen haben nicht weitergabefähiges Cannabis und nicht weitergabefähiges Vermehrungsmaterial unverzüglich zu vernichten.</w:t>
      </w:r>
    </w:p>
    <w:p>
      <w:r>
        <w:t xml:space="preserve">(4) Cannabis ist nicht weitergabefähig, wenn</w:t>
      </w:r>
    </w:p>
    <w:p>
      <w:pPr>
        <w:ind w:left="420"/>
      </w:pPr>
      <w:r>
        <w:t xml:space="preserve">1. das Cannabis nicht selbst von der Anbauvereinigung gemeinschaftlich innerhalb ihres befriedeten Besitztums angebaut worden ist,</w:t>
      </w:r>
    </w:p>
    <w:p>
      <w:pPr>
        <w:ind w:left="420"/>
      </w:pPr>
      <w:r>
        <w:t xml:space="preserve">2. die Anbauvereinigung, die das Cannabis weitergeben will, nicht über eine wirksame Erlaubnis nach § 11 Absatz 1 verfügt,</w:t>
      </w:r>
    </w:p>
    <w:p>
      <w:pPr>
        <w:ind w:left="420"/>
      </w:pPr>
      <w:r>
        <w:t xml:space="preserve">3. das angebaute oder das zur Weitergabe bestimmte Cannabis die nach § 13 Absatz 3 erlaubten jährlichen Eigenanbau- oder Weitergabemengen übersteigt,</w:t>
      </w:r>
    </w:p>
    <w:p>
      <w:pPr>
        <w:ind w:left="420"/>
      </w:pPr>
      <w:r>
        <w:t xml:space="preserve">4. in oder auf dem Cannabis oder Vermehrungsmaterial Stoffe in einem Umfang enthalten sind, der die in einer Rechtsverordnung nach § 17 Absatz 4 festgelegten Höchstgehalte übersteigt,</w:t>
      </w:r>
    </w:p>
    <w:p>
      <w:pPr>
        <w:ind w:left="420"/>
      </w:pPr>
      <w:r>
        <w:t xml:space="preserve">5. das Cannabis nicht in Reinform als Marihuana oder Haschisch weitergegeben wird oder</w:t>
      </w:r>
    </w:p>
    <w:p>
      <w:pPr>
        <w:ind w:left="420"/>
      </w:pPr>
      <w:r>
        <w:t xml:space="preserve">6. das Cannabis mit den in § 21 Absatz 1 Satz 1 genannten Stoffen vermischt, vermengt oder verbunden ist.</w:t>
      </w:r>
    </w:p>
    <w:p>
      <w:r>
        <w:t xml:space="preserve">(5) Vermehrungsmaterial ist nicht weitergabefähig, wenn</w:t>
      </w:r>
    </w:p>
    <w:p>
      <w:pPr>
        <w:ind w:left="420"/>
      </w:pPr>
      <w:r>
        <w:t xml:space="preserve">1. das Vermehrungsmaterial nicht beim gemeinschaftlichen Eigenanbau von Cannabis innerhalb des befriedeten Besitztums der Anbauvereinigung gewonnen wurde oder</w:t>
      </w:r>
    </w:p>
    <w:p>
      <w:pPr>
        <w:ind w:left="420"/>
      </w:pPr>
      <w:r>
        <w:t xml:space="preserve">2. die Anbauvereinigung, die das Vermehrungsmaterial weitergeben will, nicht über eine Erlaubnis nach § 11 Absatz 1 verfügt.</w:t>
      </w:r>
    </w:p>
    <w:p>
      <w:r>
        <w:rPr>
          <w:color w:val="555555"/>
          <w:sz w:val="17"/>
        </w:rPr>
        <w:t xml:space="preserve">Zitiervorschlag: § 18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