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KCanG — Anforderungen an den gemeinschaftlichen Eigenanbau von Cannabis; Verordnungsermächtigung</w:t>
      </w:r>
    </w:p>
    <w:p>
      <w:r>
        <w:rPr>
          <w:color w:val="555555"/>
          <w:sz w:val="18"/>
        </w:rPr>
        <w:t xml:space="preserve">Konsumcannabisgesetz</w:t>
      </w:r>
    </w:p>
    <w:p>
      <w:r>
        <w:rPr>
          <w:color w:val="555555"/>
          <w:sz w:val="18"/>
        </w:rPr>
        <w:t xml:space="preserve">Stand: 01.07.2024 (konsolidierte Textfassung, kein amtliches Inkrafttretensdatum)</w:t>
      </w:r>
    </w:p>
    <w:p>
      <w:r>
        <w:t xml:space="preserve">(1) In Anbauvereinigungen darf Cannabis nur von Mitgliedern gemeinschaftlich angebaut werden. Anbauvereinigungen dürfen geringfügig Beschäftigten im Sinne des § 8 Absatz 1 des Vierten Buches Sozialgesetzbuch nur dann unmittelbar mit dem gemeinschaftlichen Eigenanbau oder der Weitergabe von Cannabis verbundene Tätigkeiten übertragen, wenn diese Mitglieder der Anbauvereinigung sind. Sie dürfen sonstige entgeltlich Beschäftigte, unabhängig davon, ob diese Mitglieder oder Nichtmitglieder sind, oder andere Nichtmitglieder nur mit Tätigkeiten beauftragen, die nicht unmittelbar mit dem gemeinschaftlichen Eigenanbau oder der Weitergabe von Cannabis verbunden sind. Dasselbe Nichtmitglied darf von einer Anbauvereinigung mit mehr als einer Art von Tätigkeit nach Satz 3 nur beauftragt werden, wenn es entgeltlich beschäftigt wird.</w:t>
      </w:r>
    </w:p>
    <w:p>
      <w:r>
        <w:t xml:space="preserve">(2) Die Mitglieder der Anbauvereinigung haben beim gemeinschaftlichen Eigenanbau von Cannabis aktiv mitzuwirken. Eine aktive Mitwirkung ist insbesondere gegeben, wenn Mitglieder der Anbauvereinigung beim gemeinschaftlichen Eigenanbau und bei unmittelbar mit dem gemeinschaftlichen Eigenanbau verbundenen Tätigkeiten eigenhändig mitwirken.</w:t>
      </w:r>
    </w:p>
    <w:p>
      <w:r>
        <w:t xml:space="preserve">(3) Anbauvereinigungen haben beim gemeinschaftlichen Eigenanbau die Grundsätze der guten fachlichen Praxis einzuhalten. Sie haben ausreichende Vorkehrungen zu treffen, damit Risiken für die menschliche Gesundheit, die durch die in Absatz 4 genannten Stoffe, Materialien oder Gegenstände entstehen können, minimiert werden.</w:t>
      </w:r>
    </w:p>
    <w:p>
      <w:r>
        <w:t xml:space="preserve">(4) Das Bundesministerium für Ernährung und Landwirtschaft wird ermächtigt, im Einvernehmen mit dem Bundesministerium für Gesundheit durch Rechtsverordnung mit Zustimmung des Bundesrates, soweit dies zum Schutz der Gesundheit erforderlich ist, Folgendes festzulegen:</w:t>
      </w:r>
    </w:p>
    <w:p>
      <w:pPr>
        <w:ind w:left="420"/>
      </w:pPr>
      <w:r>
        <w:t xml:space="preserve">1. Höchstgehalte der folgenden Stoffe oder von deren Abbau-, Umwandlungs- oder Reaktionsprodukten in oder auf in Anbauvereinigungen gemeinschaftlich angebautem Cannabis oder Vermehrungsmaterial:</w:t>
      </w:r>
    </w:p>
    <w:p>
      <w:pPr>
        <w:ind w:left="780"/>
      </w:pPr>
      <w:r>
        <w:t xml:space="preserve">a) Pflanzenschutzmittel im Sinne des Artikels 2 der Verordnung (EG) Nr. 1107/2009 des Europäischen Parlaments und des Rates vom 21. Oktober 2009 über das Inverkehrbringen von Pflanzenschutzmitteln und zur Aufhebung der Richtlinien 79/117/EWG und 91/414/EWG des Rates (ABl. L 309 vom 24.11.2009, S. 1; L 45 vom 18.2.2020, S. 81), die zuletzt durch die Verordnung (EU) 2022/1438 (ABl. L 227 vom 1.9.2022, S. 2) geändert worden ist, in der jeweils geltenden Fassung,</w:t>
      </w:r>
    </w:p>
    <w:p>
      <w:pPr>
        <w:ind w:left="780"/>
      </w:pPr>
      <w:r>
        <w:t xml:space="preserve">b) Düngemittel im Sinne des Düngegesetzes,</w:t>
      </w:r>
    </w:p>
    <w:p>
      <w:pPr>
        <w:ind w:left="780"/>
      </w:pPr>
      <w:r>
        <w:t xml:space="preserve">c) andere Pflanzen- oder Bodenbehandlungsmittel,</w:t>
      </w:r>
    </w:p>
    <w:p>
      <w:pPr>
        <w:ind w:left="780"/>
      </w:pPr>
      <w:r>
        <w:t xml:space="preserve">d) Biozid-Produkte im Sinne des Chemikaliengesetzes, soweit sie dem Vorratsschutz oder der Schädlingsbekämpfung dienen,</w:t>
      </w:r>
    </w:p>
    <w:p>
      <w:pPr>
        <w:ind w:left="780"/>
      </w:pPr>
      <w:r>
        <w:t xml:space="preserve">e) Mykotoxine, Schwermetalle oder sonstige vergleichbare gesundheitlich nicht erwünschte Stoffe und</w:t>
      </w:r>
    </w:p>
    <w:p>
      <w:pPr>
        <w:ind w:left="780"/>
      </w:pPr>
      <w:r>
        <w:t xml:space="preserve">f) Mikroorganismen,</w:t>
      </w:r>
    </w:p>
    <w:p>
      <w:pPr>
        <w:ind w:left="420"/>
      </w:pPr>
      <w:r>
        <w:t xml:space="preserve">2. Höchstgehalte für</w:t>
      </w:r>
    </w:p>
    <w:p>
      <w:pPr>
        <w:ind w:left="780"/>
      </w:pPr>
      <w:r>
        <w:t xml:space="preserve">a) Stoffe in Verpackungen und sonstigen Materialien und Gegenständen, die dazu bestimmt sind, mit Cannabis oder Vermehrungsmaterial in Berührung zu kommen, und</w:t>
      </w:r>
    </w:p>
    <w:p>
      <w:pPr>
        <w:ind w:left="780"/>
      </w:pPr>
      <w:r>
        <w:t xml:space="preserve">b) den Übergang von Stoffen aus Verpackungen und sonstigen Materialien und Gegenständen, die dazu bestimmt sind, mit Cannabis oder Vermehrungsmaterial in Berührung zu kommen, in oder auf Cannabis oder Vermehrungsmaterial,</w:t>
      </w:r>
    </w:p>
    <w:p>
      <w:pPr>
        <w:ind w:left="420"/>
      </w:pPr>
      <w:r>
        <w:t xml:space="preserve">3. das Verfahren zur Festsetzung von Höchstgehalten sowie Vorgaben für die Datenanforderungen zur Festsetzung von Höchstgehalten und</w:t>
      </w:r>
    </w:p>
    <w:p>
      <w:pPr>
        <w:ind w:left="420"/>
      </w:pPr>
      <w:r>
        <w:t xml:space="preserve">4. landwirtschaftliche, gartenbauliche oder sonstige Anforderungen an den gemeinschaftlichen Eigenanbau in Anbauvereinigungen, insbesondere in Bezug auf Hygiene, Trocknung, Lagerung oder den Wassergehalt von in Anbauvereinigungen gemeinschaftlich angebautem Cannabis oder Vermehrungsmaterial.</w:t>
      </w:r>
    </w:p>
    <w:p>
      <w:r>
        <w:rPr>
          <w:color w:val="555555"/>
          <w:sz w:val="17"/>
        </w:rPr>
        <w:t xml:space="preserve">Zitiervorschlag: § 17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