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KCanG — Widerruf und Rücknahme der Erlaubnis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Die Erlaubnis kann vollständig oder in Bezug auf die Eigenanbau- oder Weitergabemengen oder das befriedete Besitztum der Anbauvereinigung teilweise insbesondere dann widerrufen werden, wenn die Anbauvereinigung</w:t>
      </w:r>
    </w:p>
    <w:p>
      <w:pPr>
        <w:ind w:left="420"/>
      </w:pPr>
      <w:r>
        <w:t xml:space="preserve">1. ein befriedetes Besitztum nutzt, das nicht in der Erlaubnis bezeichnet ist,</w:t>
      </w:r>
    </w:p>
    <w:p>
      <w:pPr>
        <w:ind w:left="420"/>
      </w:pPr>
      <w:r>
        <w:t xml:space="preserve">2. die nach § 13 Absatz 3 erlaubten jährlichen Eigenanbau- und Weitergabemengen wiederholt überschreitet,</w:t>
      </w:r>
    </w:p>
    <w:p>
      <w:pPr>
        <w:ind w:left="420"/>
      </w:pPr>
      <w:r>
        <w:t xml:space="preserve">3. wiederholt Cannabis mit einem höheren THC-Gehalt als 10 Prozent an Heranwachsende weitergibt oder wiederholt die nach § 19 Absatz 3 Satz 2 festgelegten Weitergabemengen überschreitet,</w:t>
      </w:r>
    </w:p>
    <w:p>
      <w:pPr>
        <w:ind w:left="420"/>
      </w:pPr>
      <w:r>
        <w:t xml:space="preserve">4. von der Erlaubnis innerhalb eines Zeitraumes von zwei Jahren nach Erteilung keinen Gebrauch gemacht hat; die Frist kann von der zuständigen Behörde verlängert werden, wenn von der Anbauvereinigung ein berechtigtes Interesse an einer Verlängerung der Frist glaubhaft gemacht wird, oder</w:t>
      </w:r>
    </w:p>
    <w:p>
      <w:pPr>
        <w:ind w:left="420"/>
      </w:pPr>
      <w:r>
        <w:t xml:space="preserve">5. ihren Duldungs- oder Mitwirkungspflichten nach § 29 wiederholt nicht oder nicht vollständig nachkommt.</w:t>
      </w:r>
    </w:p>
    <w:p>
      <w:r>
        <w:t xml:space="preserve">(2) Im Übrigen gelten für den Widerruf und die Rücknahme der Erlaubnis die Vorschriften des Verwaltungsverfahrensgesetzes.</w:t>
      </w:r>
    </w:p>
    <w:p>
      <w:r>
        <w:rPr>
          <w:color w:val="555555"/>
          <w:sz w:val="17"/>
        </w:rPr>
        <w:t xml:space="preserve">Zitiervorschlag: § 15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