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KCanG — Dauer der Erlaubnis</w:t>
      </w:r>
    </w:p>
    <w:p>
      <w:r>
        <w:rPr>
          <w:color w:val="555555"/>
          <w:sz w:val="18"/>
        </w:rPr>
        <w:t xml:space="preserve">Konsumcannabisgesetz</w:t>
      </w:r>
    </w:p>
    <w:p>
      <w:r>
        <w:rPr>
          <w:color w:val="555555"/>
          <w:sz w:val="18"/>
        </w:rPr>
        <w:t xml:space="preserve">Stand: 01.07.2024 (konsolidierte Textfassung, kein amtliches Inkrafttretensdatum)</w:t>
      </w:r>
    </w:p>
    <w:p>
      <w:r>
        <w:t xml:space="preserve">Die Dauer der Erlaubnis ist auf einen Zeitraum von sieben Jahren zu befristen. Sie kann nach Ablauf von mindestens fünf Jahren auf Antrag verlängert werden; die Vorschriften der §§ 11 bis 13 gelten entsprechend für die Verlängerung der Erlaubnis.</w:t>
      </w:r>
    </w:p>
    <w:p>
      <w:r>
        <w:rPr>
          <w:color w:val="555555"/>
          <w:sz w:val="17"/>
        </w:rPr>
        <w:t xml:space="preserve">Zitiervorschlag: § 14 KCanG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https://recht.nulegal.eu/gesetze/KCanG/14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