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KCanG — Schutzmaßnahmen im privaten Raum</w:t>
      </w:r>
    </w:p>
    <w:p>
      <w:r>
        <w:rPr>
          <w:color w:val="555555"/>
          <w:sz w:val="18"/>
        </w:rPr>
        <w:t xml:space="preserve">Konsumcannabisgesetz</w:t>
      </w:r>
    </w:p>
    <w:p>
      <w:r>
        <w:rPr>
          <w:color w:val="555555"/>
          <w:sz w:val="18"/>
        </w:rPr>
        <w:t xml:space="preserve">Stand: 01.04.2024 (konsolidierte Textfassung, kein amtliches Inkrafttretensdatum)</w:t>
      </w:r>
    </w:p>
    <w:p>
      <w:r>
        <w:t xml:space="preserve">Cannabis und Vermehrungsmaterial sind am Wohnsitz und am gewöhnlichen Aufenthalt durch geeignete Maßnahmen und Sicherheitsvorkehrungen vor dem Zugriff durch Dritte, insbesondere Kinder und Jugendliche, zu schützen.</w:t>
      </w:r>
    </w:p>
    <w:p>
      <w:r>
        <w:rPr>
          <w:color w:val="555555"/>
          <w:sz w:val="17"/>
        </w:rPr>
        <w:t xml:space="preserve">Zitiervorschlag: § 10 KCanG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https://recht.nulegal.eu/gesetze/KCanG/10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