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KBV 2002 — Änderung oder Berichtigung der gesonderten Feststellung von Einkünften</w:t>
      </w:r>
    </w:p>
    <w:p>
      <w:r>
        <w:rPr>
          <w:color w:val="555555"/>
          <w:sz w:val="18"/>
        </w:rPr>
        <w:t xml:space="preserve">Kleinbetragsverordnung</w:t>
      </w:r>
    </w:p>
    <w:p>
      <w:r>
        <w:rPr>
          <w:color w:val="555555"/>
          <w:sz w:val="18"/>
        </w:rPr>
        <w:t xml:space="preserve">Stand: 10.06.2019 (konsolidierte Textfassung, kein amtliches Inkrafttretensdatum)</w:t>
      </w:r>
    </w:p>
    <w:p>
      <w:r>
        <w:t xml:space="preserve">(1) Bei gesonderten und einheitlichen Feststellungen von Einkünften wird die Feststellung zur Höhe der Einkünfte nur geändert oder berichtigt, wenn sich diese Einkünfte bei mindestens einem Beteiligten um mindestens 25 Euro ermäßigen oder erhöhen.</w:t>
      </w:r>
    </w:p>
    <w:p>
      <w:r>
        <w:t xml:space="preserve">(2) Bei gesonderten Feststellungen wird in den Fällen des § 180 Absatz 1 Satz 1 Nummer 2 Buchstabe b der Abgabenordnung die Feststellung zur Höhe der Einkünfte nur geändert oder berichtigt, wenn sich diese Einkünfte um mindestens 25 Euro ermäßigen oder erhöhen.</w:t>
      </w:r>
    </w:p>
    <w:p>
      <w:r>
        <w:rPr>
          <w:color w:val="555555"/>
          <w:sz w:val="17"/>
        </w:rPr>
        <w:t xml:space="preserve">Zitiervorschlag: § 3 KBV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https://recht.nulegal.eu/gesetze/KBV%202002/3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