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KBV 2002 — Änderung oder Berichtigung der Festsetzung eines Gewerbesteuermessbetrages</w:t>
      </w:r>
    </w:p>
    <w:p>
      <w:r>
        <w:rPr>
          <w:color w:val="555555"/>
          <w:sz w:val="18"/>
        </w:rPr>
        <w:t xml:space="preserve">Kleinbetragsverordnung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Festsetzung eines Gewerbesteuermessbetrages wird nur geändert oder berichtigt, wenn die Abweichung von der bisherigen Festsetzung bei einer Änderung oder Berichtigung zugunsten des Steuerpflichtigen mindestens 2 Euro und bei einer Änderung oder Berichtigung zuungunsten des Steuerpflichtigen mindestens 5 Euro beträgt.</w:t>
      </w:r>
    </w:p>
    <w:p>
      <w:r>
        <w:rPr>
          <w:color w:val="555555"/>
          <w:sz w:val="17"/>
        </w:rPr>
        <w:t xml:space="preserve">Zitiervorschlag: § 2 KBV 2002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https://recht.nulegal.eu/gesetze/KBV%202002/2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