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KBV 2002 — Änderung oder Berichtigung von Steuerfestsetzungen</w:t>
      </w:r>
    </w:p>
    <w:p>
      <w:r>
        <w:rPr>
          <w:color w:val="555555"/>
          <w:sz w:val="18"/>
        </w:rPr>
        <w:t xml:space="preserve">Kleinbetragsverordnung</w:t>
      </w:r>
    </w:p>
    <w:p>
      <w:r>
        <w:rPr>
          <w:color w:val="555555"/>
          <w:sz w:val="18"/>
        </w:rPr>
        <w:t xml:space="preserve">Stand: 10.06.2019 (konsolidierte Textfassung, kein amtliches Inkrafttretensdatum)</w:t>
      </w:r>
    </w:p>
    <w:p>
      <w:r>
        <w:t xml:space="preserve">(1) Festsetzungen der</w:t>
      </w:r>
    </w:p>
    <w:p>
      <w:pPr>
        <w:ind w:left="420"/>
      </w:pPr>
      <w:r>
        <w:t xml:space="preserve">1. Einkommensteuer,</w:t>
      </w:r>
    </w:p>
    <w:p>
      <w:pPr>
        <w:ind w:left="420"/>
      </w:pPr>
      <w:r>
        <w:t xml:space="preserve">2. Körperschaftsteuer,</w:t>
      </w:r>
    </w:p>
    <w:p>
      <w:pPr>
        <w:ind w:left="420"/>
      </w:pPr>
      <w:r>
        <w:t xml:space="preserve">3. Erbschaftsteuer (Schenkungsteuer),</w:t>
      </w:r>
    </w:p>
    <w:p>
      <w:pPr>
        <w:ind w:left="420"/>
      </w:pPr>
      <w:r>
        <w:t xml:space="preserve">4. Grunderwerbsteuer sowie</w:t>
      </w:r>
    </w:p>
    <w:p>
      <w:pPr>
        <w:ind w:left="420"/>
      </w:pPr>
      <w:r>
        <w:t xml:space="preserve">5. der Rennwett- und Lotteriesteuer</w:t>
      </w:r>
    </w:p>
    <w:p>
      <w:r>
        <w:t xml:space="preserve">werden nur geändert oder berichtigt, wenn die Abweichung von der bisherigen Festsetzung bei einer Änderung oder Berichtigung zugunsten des Steuerpflichtigen mindestens 10 Euro oder bei einer Änderung oder Berichtigung zuungunsten des Steuerpflichtigen mindestens 25 Euro beträgt. Bei der Einkommensteuer und bei der Körperschaftsteuer ist die jeweils nach Anrechnung von Steuerabzugsbeträgen verbleibende Steuerschuld zu vergleichen.</w:t>
      </w:r>
    </w:p>
    <w:p>
      <w:r>
        <w:t xml:space="preserve">(2) Eine angemeldete Umsatzsteuervorauszahlung, eine für das Kalenderjahr angemeldete Umsatzsteuer, eine angemeldete Feuerschutzsteuer oder eine angemeldete Versicherungsteuer wird von der Finanzbehörde nur abweichend festgesetzt, geändert oder berichtigt, wenn die Abweichung von der angemeldeten Steuer im Fall einer Abweichung zugunsten des Steuerpflichtigen mindestens 10 Euro oder im Fall einer Abweichung zuungunsten des Steuerpflichtigen mindestens 25 Euro beträgt. Dasselbe gilt, wenn diese Steuern durch Steuerbescheid festgesetzt worden sind.</w:t>
      </w:r>
    </w:p>
    <w:p>
      <w:r>
        <w:t xml:space="preserve">(3) Ist Lohnsteuer durch Steuerbescheid festgesetzt oder ist eine durch Lohnsteuer-Anmeldung bewirkte Festsetzung unanfechtbar geworden, gilt Absatz 2 entsprechend.</w:t>
      </w:r>
    </w:p>
    <w:p>
      <w:r>
        <w:rPr>
          <w:color w:val="555555"/>
          <w:sz w:val="17"/>
        </w:rPr>
        <w:t xml:space="preserve">Zitiervorschlag: § 1 KBV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https://recht.nulegal.eu/gesetze/KBV%202002/1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