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KBG-AÜVO (Nordrhein-Westfalen) — Aufgabenübertragung</w:t>
      </w:r>
    </w:p>
    <w:p>
      <w:r>
        <w:rPr>
          <w:color w:val="555555"/>
          <w:sz w:val="18"/>
        </w:rPr>
        <w:t xml:space="preserve">KBG-Darlehen-Aufgabenübertragungsverordnung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NRW.BANK wird die Vergabe und Verwaltung eines Darlehens aus revolvierten EFRE-Mitteln an die KBG zur Unterstützung von Start-Ups und kleinen Mittelständlern mit dem in der Corona-Krise etablierten Sonderprogramm KfW Säule 2 zur ausschließlichen Wahrnehmung übertragen.</w:t>
      </w:r>
    </w:p>
    <w:p>
      <w:r>
        <w:t xml:space="preserve">(2) Die Einzelheiten der Übertragung der Aufgaben und Geschäfte auf die NRW.BANK werden soweit erforderlich mittels öffentlich-rechtlicher Verträge geregelt.</w:t>
      </w:r>
    </w:p>
    <w:p>
      <w:r>
        <w:rPr>
          <w:color w:val="555555"/>
          <w:sz w:val="17"/>
        </w:rPr>
        <w:t xml:space="preserve">Zitiervorschlag: § 1 KBG-AÜVO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https://recht.nulegal.eu/gesetze/KBG-A%C3%9CVO/1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