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KBAG</w:t>
      </w:r>
    </w:p>
    <w:p>
      <w:r>
        <w:rPr>
          <w:color w:val="555555"/>
          <w:sz w:val="18"/>
        </w:rPr>
        <w:t xml:space="preserve">Gesetz über die Errichtung eines Kraftfahrt-Bundesamtes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Als Bundesoberbehörde für den Straßenverkehr wird das Kraftfahrt-Bundesamt errichtet.</w:t>
      </w:r>
    </w:p>
    <w:p>
      <w:r>
        <w:t xml:space="preserve">(2) Dem Kraftfahrt-Bundesamt sind Landesbehörden und Prüfstellen nicht unterstellt.</w:t>
      </w:r>
    </w:p>
    <w:p>
      <w:r>
        <w:t xml:space="preserve">(3) Das Kraftfahrt-Bundesamt untersteht dem Bundesministerium für Verkehr. Es bestimmt den Dienstsitz des Kraftfahrt-Bundesamts.</w:t>
      </w:r>
    </w:p>
    <w:p>
      <w:r>
        <w:rPr>
          <w:color w:val="555555"/>
          <w:sz w:val="17"/>
        </w:rPr>
        <w:t xml:space="preserve">Zitiervorschlag: § 1 KBAG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