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KAnG — Klimaanpassungskonzepte auf Bundesebene</w:t>
      </w:r>
    </w:p>
    <w:p>
      <w:r>
        <w:rPr>
          <w:color w:val="555555"/>
          <w:sz w:val="18"/>
        </w:rPr>
        <w:t xml:space="preserve">Bundes-Klimaanpassungsgesetz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Juristische Personen des öffentlichen Rechts unter der Aufsicht des Bundes sollen Klimaanpassungskonzepte aufstellen und die darin vorgesehenen Maßnahmen umsetzen. Satz 1 gilt nicht für berufsständische Selbstverwaltungskörperschaften und berufsständische Selbstverwaltungsorganisationen und nicht für Selbstverwaltungskörperschaften der Wirtschaft.</w:t>
      </w:r>
    </w:p>
    <w:p>
      <w:r>
        <w:rPr>
          <w:color w:val="555555"/>
          <w:sz w:val="17"/>
        </w:rPr>
        <w:t xml:space="preserve">Zitiervorschlag: § 6 KAnG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https://recht.nulegal.eu/gesetze/KAnG/6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