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KAnG — Inkrafttreten</w:t>
      </w:r>
    </w:p>
    <w:p>
      <w:r>
        <w:rPr>
          <w:color w:val="555555"/>
          <w:sz w:val="18"/>
        </w:rPr>
        <w:t xml:space="preserve">Bundes-Klimaanpassungsgesetz</w:t>
      </w:r>
    </w:p>
    <w:p>
      <w:r>
        <w:rPr>
          <w:color w:val="555555"/>
          <w:sz w:val="18"/>
        </w:rPr>
        <w:t xml:space="preserve">Stand: 01.07.2024 (konsolidierte Textfassung, kein amtliches Inkrafttretensdatum)</w:t>
      </w:r>
    </w:p>
    <w:p>
      <w:r>
        <w:t xml:space="preserve">Dieses Gesetz tritt am 1. Juli 2024 in Kraft.</w:t>
      </w:r>
    </w:p>
    <w:p>
      <w:r>
        <w:rPr>
          <w:color w:val="555555"/>
          <w:sz w:val="17"/>
        </w:rPr>
        <w:t xml:space="preserve">Zitiervorschlag: § 14 KAnG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https://recht.nulegal.eu/gesetze/KAnG/14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