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KAnG — Schlussvorschriften</w:t>
      </w:r>
    </w:p>
    <w:p>
      <w:r>
        <w:rPr>
          <w:color w:val="555555"/>
          <w:sz w:val="18"/>
        </w:rPr>
        <w:t xml:space="preserve">Bundes-Klimaanpassungsgesetz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Subjektive Rechte und klagbare Rechtspositionen werden durch dieses Gesetz oder aufgrund dieses Gesetzes nicht begründet.</w:t>
      </w:r>
    </w:p>
    <w:p>
      <w:r>
        <w:t xml:space="preserve">(2) Dieses Gesetz findet keine Anwendung auf Flächen und Einrichtungen, die der Landes-, Bündnis- und Zivilverteidigung dienen, sowie auf Liegenschaften im Ausland.</w:t>
      </w:r>
    </w:p>
    <w:p>
      <w:r>
        <w:rPr>
          <w:color w:val="555555"/>
          <w:sz w:val="17"/>
        </w:rPr>
        <w:t xml:space="preserve">Zitiervorschlag: § 13 KAnG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