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KAVerOV</w:t>
      </w:r>
    </w:p>
    <w:p>
      <w:r>
        <w:rPr>
          <w:color w:val="555555"/>
          <w:sz w:val="18"/>
        </w:rPr>
        <w:t xml:space="preserve">Kapitalanlage-Verhaltens- und -Organisationsverordnung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8 Satz 1, auch in Verbindung mit § 51 Absatz 4 Satz 1, des § 27 Absatz 6 Satz 1, auch in Verbindung mit § 51 Absatz 4 Satz 1, des § 28 Absatz 4 Satz 1, des § 29 Absatz 6 Satz 1 und des § 30 Absatz 5 Satz 1 des Kapitalanlagegesetzbuches vom 4. Juli 2013 (BGBl. I S. 1981) in Verbindung mit § 1 Nummer 3a der Verordnung zur Übertragung von Befugnissen zum Erlass von Rechtsverordnungen auf die Bundesanstalt für Finanzdienstleistungsaufsicht, der zuletzt durch Artikel 1 der Verordnung vom 11. Juli 2013 (BGBl. I S. 2231) geändert worden ist, verordnet die Bundesanstalt für Finanzdienstleistungsaufsicht:</w:t>
      </w:r>
    </w:p>
    <w:p>
      <w:r>
        <w:rPr>
          <w:color w:val="555555"/>
          <w:sz w:val="17"/>
        </w:rPr>
        <w:t xml:space="preserve">Zitiervorschlag: Eingangsformel KAVerOV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https://recht.nulegal.eu/gesetze/KAVerOV/eingangsformel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