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KAVerOV — Inkrafttreten, Außerkrafttreten</w:t>
      </w:r>
    </w:p>
    <w:p>
      <w:r>
        <w:rPr>
          <w:color w:val="555555"/>
          <w:sz w:val="18"/>
        </w:rPr>
        <w:t xml:space="preserve">Kapitalanlage-Verhaltens- und -Organisationsverordnung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22. Juli 2013 in Kraft. Gleichzeitig tritt die Investment-Verhaltens- und Organisationsverordnung vom 28. Juni 2011 (BGBl. I S. 1288) außer Kraft.</w:t>
      </w:r>
    </w:p>
    <w:p>
      <w:r>
        <w:rPr>
          <w:color w:val="555555"/>
          <w:sz w:val="17"/>
        </w:rPr>
        <w:t xml:space="preserve">Zitiervorschlag: § 8 KAVerOV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https://recht.nulegal.eu/gesetze/KAVerOV/8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