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KAVerOV — Liquiditätsmanagement</w:t>
      </w:r>
    </w:p>
    <w:p>
      <w:r>
        <w:rPr>
          <w:color w:val="555555"/>
          <w:sz w:val="18"/>
        </w:rPr>
        <w:t xml:space="preserve">Kapitalanlage-Verhaltens- und -Organisationsverordnung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OGAW-Kapitalverwaltungsgesellschaften bestimmen sich die Kriterien für</w:t>
      </w:r>
    </w:p>
    <w:p>
      <w:pPr>
        <w:ind w:left="420"/>
      </w:pPr>
      <w:r>
        <w:t xml:space="preserve">1. die Liquiditätsmanagementsysteme und -verfahren und</w:t>
      </w:r>
    </w:p>
    <w:p>
      <w:pPr>
        <w:ind w:left="420"/>
      </w:pPr>
      <w:r>
        <w:t xml:space="preserve">2. die Übereinstimmung von Anlagestrategie, Liquiditätsprofil und Rücknahmegrundsätzen nach § 30 Absatz 3 des Kapitalanlagegesetzbuches</w:t>
      </w:r>
    </w:p>
    <w:p>
      <w:r>
        <w:t xml:space="preserve">entsprechend den Artikeln 46 bis 49 der Verordnung (EU) Nr. 231/2013.</w:t>
      </w:r>
    </w:p>
    <w:p>
      <w:r>
        <w:rPr>
          <w:color w:val="555555"/>
          <w:sz w:val="17"/>
        </w:rPr>
        <w:t xml:space="preserve">Zitiervorschlag: § 6 KAVerOV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https://recht.nulegal.eu/gesetze/KAVerOV/6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