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KAVerOV — Risikomanagement</w:t>
      </w:r>
    </w:p>
    <w:p>
      <w:r>
        <w:rPr>
          <w:color w:val="555555"/>
          <w:sz w:val="18"/>
        </w:rPr>
        <w:t xml:space="preserve">Kapitalanlage-Verhaltens- und -Organisationsverordnung</w:t>
      </w:r>
    </w:p>
    <w:p>
      <w:r>
        <w:rPr>
          <w:color w:val="555555"/>
          <w:sz w:val="18"/>
        </w:rPr>
        <w:t xml:space="preserve">Stand: 03.08.2022 (konsolidierte Textfassung, kein amtliches Inkrafttretensdatum)</w:t>
      </w:r>
    </w:p>
    <w:p>
      <w:r>
        <w:t xml:space="preserve">(1) Bei OGAW-Kapitalverwaltungsgesellschaften bestimmen sich die Kriterien für</w:t>
      </w:r>
    </w:p>
    <w:p>
      <w:pPr>
        <w:ind w:left="420"/>
      </w:pPr>
      <w:r>
        <w:t xml:space="preserve">1. die Risikomanagementsysteme,</w:t>
      </w:r>
    </w:p>
    <w:p>
      <w:pPr>
        <w:ind w:left="420"/>
      </w:pPr>
      <w:r>
        <w:t xml:space="preserve">2. die angemessenen zeitlichen Abstände zwischen den Überprüfungen des Risikomanagementsystems,</w:t>
      </w:r>
    </w:p>
    <w:p>
      <w:pPr>
        <w:ind w:left="420"/>
      </w:pPr>
      <w:r>
        <w:t xml:space="preserve">3. die Art und Weise, in der die funktionale und hierarchische Trennung zwischen der Risikocontrolling-Funktion einerseits und den operativen Abteilungen einschließlich der Portfolioverwaltung andererseits zu erfolgen hat,</w:t>
      </w:r>
    </w:p>
    <w:p>
      <w:pPr>
        <w:ind w:left="420"/>
      </w:pPr>
      <w:r>
        <w:t xml:space="preserve">4. die besonderen Schutzvorkehrungen gegen Interessenkonflikte gemäß § 29 Absatz 1 Satz 3 des Kapitalanlagegesetzbuches und</w:t>
      </w:r>
    </w:p>
    <w:p>
      <w:pPr>
        <w:ind w:left="420"/>
      </w:pPr>
      <w:r>
        <w:t xml:space="preserve">5. die Anforderungen nach § 29 Absatz 3 des Kapitalanlagegesetzbuches</w:t>
      </w:r>
    </w:p>
    <w:p>
      <w:r>
        <w:t xml:space="preserve">entsprechend den Artikeln 38 bis 45 der Verordnung (EU) Nr. 231/2013.</w:t>
      </w:r>
    </w:p>
    <w:p>
      <w:r>
        <w:t xml:space="preserve">(2) Die Kapitalverwaltungsgesellschaft von OGAW oder Publikums-AIF hat in Umsetzung ihrer nach Absatz 1 in Verbindung mit Artikel 40 der Verordnung (EU) Nr. 231/2013 festgelegten Risikomanagementgrundsätze vor dem Erwerb eines Vermögensgegenstandes für einen OGAW oder Publikums-AIF, soweit es der Art des Vermögensgegenstandes angemessen ist, Prognosen abzugeben und Analysen durchzuführen über die Auswirkungen des Erwerbs auf die Zusammensetzung des Investmentvermögens, auf dessen Liquidität und auf dessen Risiko- und Ertragsprofil. Die Analysen dürfen sich quantitativ wie qualitativ nur auf verlässliche und aktuelle Daten stützen. Die Kapitalverwaltungsgesellschaft hat bei der Erfüllung der in Satz 1 aufgeführten Anforderungen Nachhaltigkeitsrisiken zu berücksichtigen. Berücksichtigt die Kapitalverwaltungsgesellschaft die wichtigsten nachteiligen Auswirkungen von Investitionsentscheidungen auf Nachhaltigkeitsfaktoren gemäß Artikel 4 Absatz 1 Buchstabe a oder Absatz 3 oder Absatz 4 der Verordnung (EU) 2019/2088 des Europäischen Parlaments und des Rates vom 27. November 2019 über nachhaltigkeitsbezogene Offenlegungspflichten im Finanzdienstleistungssektor (ABl. L 317 vom 9.12.2019, S. 1), die zuletzt durch die Verordnung (EU) 2020/852 (ABl. L 198 vom 22.6.2020, S. 13) geändert worden ist, hat sie diesen wichtigsten nachteiligen Auswirkungen bei der Erfüllung der in Satz 1 aufgeführten Anforderungen Rechnung zu tragen.</w:t>
      </w:r>
    </w:p>
    <w:p>
      <w:r>
        <w:t xml:space="preserve">(3) Für die Zwecke dieser Verordnung werden die in Artikel 44 Absatz 2 der Verordnung (EU) Nr. 231/2013 genannten Begriffe und die Begriffe Nachhaltigkeitsrisiko und Nachhaltigkeitsfaktoren folgendermaßen definiert:</w:t>
      </w:r>
    </w:p>
    <w:p>
      <w:pPr>
        <w:ind w:left="420"/>
      </w:pPr>
      <w:r>
        <w:t xml:space="preserve">1. Marktrisiko ist das Verlustrisiko für ein Investmentvermögen, das aus Schwankungen beim Marktwert von Positionen im Portfolio des Investmentvermögens resultiert, die zurückzuführen sind auf Veränderungen</w:t>
      </w:r>
    </w:p>
    <w:p>
      <w:pPr>
        <w:ind w:left="780"/>
      </w:pPr>
      <w:r>
        <w:t xml:space="preserve">a) bei Marktvariablen wie Zinssätzen, Wechselkursen, Aktien- und Rohstoffpreisen oder</w:t>
      </w:r>
    </w:p>
    <w:p>
      <w:pPr>
        <w:ind w:left="780"/>
      </w:pPr>
      <w:r>
        <w:t xml:space="preserve">b) bei der Bonität eines Emittenten;</w:t>
      </w:r>
    </w:p>
    <w:p>
      <w:pPr>
        <w:ind w:left="420"/>
      </w:pPr>
      <w:r>
        <w:t xml:space="preserve">2. Liquiditätsrisiko ist das Risiko, dass eine Position im Portfolio des Investmentvermögens nicht innerhalb hinreichend kurzer Zeit mit begrenzten Kosten veräußert, liquidiert oder geschlossen werden kann und dass dadurch die Erfüllung von Rückgabeverlangen der Anleger oder von sonstigen Zahlungsverpflichtungen beeinträchtigt wird;</w:t>
      </w:r>
    </w:p>
    <w:p>
      <w:pPr>
        <w:ind w:left="420"/>
      </w:pPr>
      <w:r>
        <w:t xml:space="preserve">3. Kontrahentenrisiko ist das Verlustrisiko für ein Investmentvermögen, das aus der Tatsache resultiert, dass die Gegenpartei eines Geschäfts bei der Abwicklung von Leistungsansprüchen ihren Verpflichtungen möglicherweise nicht nachkommen kann;</w:t>
      </w:r>
    </w:p>
    <w:p>
      <w:pPr>
        <w:ind w:left="420"/>
      </w:pPr>
      <w:r>
        <w:t xml:space="preserve">4. Operationelles Risiko ist das Verlustrisiko für ein Investmentvermögen, das aus unzureichenden internen Prozessen sowie aus menschlichem oder Systemversagen bei der Kapitalverwaltungsgesellschaft oder aus externen Ereignissen resultiert; darin eingeschlossen sind Rechts-, Dokumentations- und Reputationsrisiken sowie Risiken, die aus den für ein Investmentvermögen betriebenen Handels-, Abrechnungs- und Bewertungsverfahren resultieren;</w:t>
      </w:r>
    </w:p>
    <w:p>
      <w:pPr>
        <w:ind w:left="420"/>
      </w:pPr>
      <w:r>
        <w:t xml:space="preserve">5. Nachhaltigkeitsrisiko ist das Nachhaltigkeitsrisiko gemäß Artikel 2 Nummer 22 der Verordnung (EU) 2019/2088;</w:t>
      </w:r>
    </w:p>
    <w:p>
      <w:pPr>
        <w:ind w:left="420"/>
      </w:pPr>
      <w:r>
        <w:t xml:space="preserve">6. Nachhaltigkeitsfaktoren sind die Nachhaltigkeitsfaktoren gemäß Artikel 2 Nummer 24 der Verordnung (EU) 2019/2088.</w:t>
      </w:r>
    </w:p>
    <w:p>
      <w:r>
        <w:rPr>
          <w:color w:val="555555"/>
          <w:sz w:val="17"/>
        </w:rPr>
        <w:t xml:space="preserve">Zitiervorschlag: § 5 KAVerOV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https://recht.nulegal.eu/gesetze/KAVerOV/5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