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KAVerOV — Interessenkonflikte</w:t>
      </w:r>
    </w:p>
    <w:p>
      <w:r>
        <w:rPr>
          <w:color w:val="555555"/>
          <w:sz w:val="18"/>
        </w:rPr>
        <w:t xml:space="preserve">Kapitalanlage-Verhaltens- und -Organisationsverordnung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Bei OGAW-Kapitalverwaltungsgesellschaften bestimmen sich</w:t>
      </w:r>
    </w:p>
    <w:p>
      <w:pPr>
        <w:ind w:left="420"/>
      </w:pPr>
      <w:r>
        <w:t xml:space="preserve">1. die Arten der in § 27 Absatz 1 des Kapitalanlagegesetzbuches genannten Interessenkonflikte und</w:t>
      </w:r>
    </w:p>
    <w:p>
      <w:pPr>
        <w:ind w:left="420"/>
      </w:pPr>
      <w:r>
        <w:t xml:space="preserve">2. die angemessenen Maßnahmen, die hinsichtlich der Strukturen sowie der organisatorischen und administrativen Verfahren von einer OGAW-Kapitalverwaltungsgesellschaft erwartet werden, um Interessenkonflikte zu ermitteln, ihnen vorzubeugen, sie zu steuern, zu beobachten und offenzulegen,</w:t>
      </w:r>
    </w:p>
    <w:p>
      <w:r>
        <w:t xml:space="preserve">entsprechend den Artikeln 30 bis 37 der Verordnung (EU) Nr. 231/2013, wobei die den Anlegern entsprechend Artikel 36 Absatz 1 der Verordnung (EU) Nr. 231/2013 offenzulegenden Informationen auf einem dauerhaften Datenträger, welcher den Anforderungen des § 167 Absatz 1 und 3 des Kapitalanlagegesetzbuchs unterliegt, oder entsprechend Artikel 36 Absatz 2 der Verordnung (EU) Nr. 231/2013 auf einer Internetseite zur Verfügung gestellt werden.</w:t>
      </w:r>
    </w:p>
    <w:p>
      <w:r>
        <w:t xml:space="preserve">(2) Unbeschadet der Pflichten nach Artikel 37 Absatz 3 der Verordnung (EU) Nr. 231/2013 hat die Kapitalverwaltungsgesellschaft von OGAW oder von Publikums-AIF eine Kurzbeschreibung der nach Artikel 37 Absatz 1 der Verordnung (EU) Nr. 231/2013 ausgearbeiteten Strategien auf ihrer Internetseite zu veröffentlichen. Einzelheiten zu den aufgrund dieser Strategien getroffenen Maßnahmen hat sie den Anlegern auf Verlangen kostenfrei zur Verfügung zu stellen.</w:t>
      </w:r>
    </w:p>
    <w:p>
      <w:r>
        <w:rPr>
          <w:color w:val="555555"/>
          <w:sz w:val="17"/>
        </w:rPr>
        <w:t xml:space="preserve">Zitiervorschlag: § 3 KAVerOV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https://recht.nulegal.eu/gesetze/KAVerOV/3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