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KAVerOV — Anwendungsbereich</w:t>
      </w:r>
    </w:p>
    <w:p>
      <w:r>
        <w:rPr>
          <w:color w:val="555555"/>
          <w:sz w:val="18"/>
        </w:rPr>
        <w:t xml:space="preserve">Kapitalanlage-Verhaltens- und -Organisationsverordnung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die Einzelheiten der allgemeinen Verhaltens- und Organisationspflichten, des Umgangs mit Interessenkonflikten sowie des Risiko- und Liquiditätsmanagements von Kapitalverwaltungsgesellschaften bei der Verwaltung von OGAW und Publikums-AIF.</w:t>
      </w:r>
    </w:p>
    <w:p>
      <w:r>
        <w:t xml:space="preserve">(2) Die §§ 2 und 3 sind auch auf inländische Zweigniederlassungen von EU-OGAW-Verwaltungsgesellschaften anzuwenden, soweit diese Zweigniederlassungen die kollektive Vermögensverwaltung von OGAW im Inland erbringen.</w:t>
      </w:r>
    </w:p>
    <w:p>
      <w:r>
        <w:rPr>
          <w:color w:val="555555"/>
          <w:sz w:val="17"/>
        </w:rPr>
        <w:t xml:space="preserve">Zitiervorschlag: § 1 KAVerOV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https://recht.nulegal.eu/gesetze/KAVerOV/1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