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KAV — Abschlagszahlungen, Vorauszahlungen</w:t>
      </w:r>
    </w:p>
    <w:p>
      <w:r>
        <w:rPr>
          <w:color w:val="555555"/>
          <w:sz w:val="18"/>
        </w:rPr>
        <w:t xml:space="preserve">Konzessionsabgabenverordnung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Abschlagszahlungen auf Konzessionsabgaben sind nur für abgelaufene Zeitabschnitte zulässig. Eine Verzinsung findet außer im Fall des Verzuges nicht statt.</w:t>
      </w:r>
    </w:p>
    <w:p>
      <w:r>
        <w:t xml:space="preserve">(2) Vorauszahlungen dürfen nicht geleistet werden.</w:t>
      </w:r>
    </w:p>
    <w:p>
      <w:r>
        <w:rPr>
          <w:color w:val="555555"/>
          <w:sz w:val="17"/>
        </w:rPr>
        <w:t xml:space="preserve">Zitiervorschlag: § 5 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