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KARG</w:t>
      </w:r>
    </w:p>
    <w:p>
      <w:r>
        <w:rPr>
          <w:color w:val="555555"/>
          <w:sz w:val="18"/>
        </w:rPr>
        <w:t xml:space="preserve">Gesetz über Kassenarztrecht</w:t>
      </w:r>
    </w:p>
    <w:p>
      <w:r>
        <w:rPr>
          <w:color w:val="555555"/>
          <w:sz w:val="18"/>
        </w:rPr>
        <w:t xml:space="preserve">Stand: 10.06.2019 (konsolidierte Textfassung, kein amtliches Inkrafttretensdatum)</w:t>
      </w:r>
    </w:p>
    <w:p>
      <w:r>
        <w:t xml:space="preserve">(1) Die Verbindlichkeiten der Kassenärztlichen Vereinigung Deutschlands gehen auf die Kassenärztlichen Vereinigungen und die Kassenärztliche Bundesvereinigung als Gesamtschuldner über. In ihrem Verhältnis untereinander hat diejenige Vereinigung, auf die ein Grundstück oder ein Recht an einem Grundstück übergeht, die Verbindlichkeiten zu tragen, die mit dem Grundstück oder dem Recht in unmittelbarem wirtschaftlichem Zusammenhang stehen. Im übrigen hat in ihrem Verhältnis untereinander jede Vereinigung die Verbindlichkeiten der Kassenärztlichen Vereinigung Deutschlands anteilig zu tragen; die Höhe der Anteile ist durch die Satzung der Kassenärztlichen Bundesvereinigung zu bestimmen.</w:t>
      </w:r>
    </w:p>
    <w:p>
      <w:r>
        <w:t xml:space="preserve">(2) Durch den Schuldübergang werden, abgesehen von der Änderung in der Person des Schuldners, die Rechte des Gläubigers, insbesondere seine Ansprüche gegen einen Bürgen, sowie seine Rechte aus einem Pfandrecht, einer Hypothek oder einer sonstigen Sicherheit, nicht berührt; § 418 des Bürgerlichen Gesetzbuchs findet keine Anwendung.</w:t>
      </w:r>
    </w:p>
    <w:p>
      <w:r>
        <w:rPr>
          <w:color w:val="555555"/>
          <w:sz w:val="17"/>
        </w:rPr>
        <w:t xml:space="preserve">Zitiervorschlag: § 6 KARG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