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KARG</w:t>
      </w:r>
    </w:p>
    <w:p>
      <w:r>
        <w:rPr>
          <w:color w:val="555555"/>
          <w:sz w:val="18"/>
        </w:rPr>
        <w:t xml:space="preserve">Gesetz über Kassenarztrecht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Kassenärztliche Bundesvereinigung und die Kassenzahnärztliche Bundesvereinigung werden mit Inkrafttreten dieses Gesetzes Bundesvereinigungen im Sinne des § 368k Abs. 2.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3 KARG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