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KARG</w:t>
      </w:r>
    </w:p>
    <w:p>
      <w:r>
        <w:rPr>
          <w:color w:val="555555"/>
          <w:sz w:val="18"/>
        </w:rPr>
        <w:t xml:space="preserve">Gesetz über Kassenarztrecht</w:t>
      </w:r>
    </w:p>
    <w:p>
      <w:r>
        <w:rPr>
          <w:color w:val="555555"/>
          <w:sz w:val="18"/>
        </w:rPr>
        <w:t xml:space="preserve">Stand: 10.06.2019 (konsolidierte Textfassung, kein amtliches Inkrafttretensdatum)</w:t>
      </w:r>
    </w:p>
    <w:p>
      <w:r>
        <w:t xml:space="preserve">(1) Die in den Ländern bestehenden Vereinigungen der Kassenärzte und Kassenzahnärzte werden mit dem Inkrafttreten des Gesetzes Kassenärztliche bzw. Kassenzahnärztliche Vereinigungen im Sinne des § 368k Abs. 1.</w:t>
      </w:r>
    </w:p>
    <w:p>
      <w:r>
        <w:t xml:space="preserve">(2) Soweit der Bereich einer Vereinigung von den in § 368k Abs. 1 gezogenen Grenzen abweicht, kann es bis zur Höchstdauer von zwei Jahren nach Inkrafttreten des Gesetzes dabei verbleiben, für die spätere Zeit nur mit Zustimmung der für die Sozialversicherung zuständigen obersten Verwaltungsbehörden des Landes oder der beteiligten Länder.</w:t>
      </w:r>
    </w:p>
    <w:p>
      <w:r>
        <w:t xml:space="preserve">(3)</w:t>
      </w:r>
    </w:p>
    <w:p>
      <w:r>
        <w:rPr>
          <w:color w:val="555555"/>
          <w:sz w:val="17"/>
        </w:rPr>
        <w:t xml:space="preserve">Zitiervorschlag: § 2 KARG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