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Zahnärzte im Sinne dieses Gesetzes gelten auch die gemäß § 123 der Reichsversicherungsordnung in der Fassung des § 22 des Gesetzes über die Ausübung der Zahnheilkunde vom 31. März 1952 (Bundesgesetzbl. I S. 221) staatlich anerkannten Dentisten.</w:t>
      </w:r>
    </w:p>
    <w:p>
      <w:r>
        <w:t xml:space="preserve">(2) Mit der Errichtung der Kassenzahnärztlichen Vereinigungen erlöschen die bestehenden Kassendentistischen Vereinigungen; ihre Rechte und Pflichten sowie ihr Vermögen gehen im Weg der Gesamtrechtsnachfolge auf die Kassenzahnärztlichen Vereinigungen über. Gebühren und Steuern werden aus Anlaß dieses Rechtsübergangs nicht erhoben.</w:t>
      </w:r>
    </w:p>
    <w:p>
      <w:r>
        <w:rPr>
          <w:color w:val="555555"/>
          <w:sz w:val="17"/>
        </w:rPr>
        <w:t xml:space="preserve">Zitiervorschlag: § 14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